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25987243"/>
    <w:p w14:paraId="1E385F1C" w14:textId="77777777" w:rsidR="000C5B5F" w:rsidRPr="00B104AA" w:rsidRDefault="00021AE4" w:rsidP="00526AFA">
      <w:pPr>
        <w:pStyle w:val="Heading3"/>
        <w:rPr>
          <w:rStyle w:val="Restrictedstatisticstextforpublicationreleases"/>
          <w:b/>
          <w:color w:val="auto"/>
          <w:sz w:val="24"/>
        </w:rPr>
        <w:sectPr w:rsidR="000C5B5F" w:rsidRPr="00B104AA" w:rsidSect="0039525D">
          <w:footerReference w:type="default" r:id="rId11"/>
          <w:headerReference w:type="first" r:id="rId12"/>
          <w:footerReference w:type="first" r:id="rId13"/>
          <w:footnotePr>
            <w:numFmt w:val="lowerRoman"/>
          </w:footnotePr>
          <w:endnotePr>
            <w:numFmt w:val="decimal"/>
          </w:endnotePr>
          <w:pgSz w:w="11906" w:h="16838"/>
          <w:pgMar w:top="8222" w:right="737" w:bottom="1985" w:left="1418" w:header="737" w:footer="1134" w:gutter="0"/>
          <w:cols w:space="708"/>
          <w:titlePg/>
          <w:docGrid w:linePitch="360"/>
        </w:sectPr>
      </w:pPr>
      <w:r w:rsidRPr="00BB54CC">
        <w:rPr>
          <w:noProof/>
          <w:lang w:eastAsia="en-GB"/>
        </w:rPr>
        <mc:AlternateContent>
          <mc:Choice Requires="wps">
            <w:drawing>
              <wp:inline distT="0" distB="0" distL="0" distR="0" wp14:anchorId="05F5C9F4" wp14:editId="41513975">
                <wp:extent cx="5580000" cy="4347148"/>
                <wp:effectExtent l="0" t="0" r="1905" b="15875"/>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0000" cy="43471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bookmarkStart w:id="7" w:name="_Toc324429979" w:displacedByCustomXml="next"/>
                          <w:bookmarkStart w:id="8" w:name="_Toc324429932" w:displacedByCustomXml="next"/>
                          <w:bookmarkStart w:id="9" w:name="_Toc323040046" w:displacedByCustomXml="next"/>
                          <w:bookmarkStart w:id="10" w:name="_Toc322600037" w:displacedByCustomXml="next"/>
                          <w:bookmarkStart w:id="11" w:name="_Toc322600015" w:displacedByCustomXml="next"/>
                          <w:bookmarkStart w:id="12" w:name="_Toc322599008" w:displacedByCustomXml="next"/>
                          <w:sdt>
                            <w:sdtPr>
                              <w:alias w:val="Title"/>
                              <w:tag w:val=""/>
                              <w:id w:val="1997915227"/>
                              <w:placeholder>
                                <w:docPart w:val="43F92F7667AE4EE1A4FABC353B94AF53"/>
                              </w:placeholder>
                              <w:dataBinding w:prefixMappings="xmlns:ns0='http://purl.org/dc/elements/1.1/' xmlns:ns1='http://schemas.openxmlformats.org/package/2006/metadata/core-properties' " w:xpath="/ns1:coreProperties[1]/ns0:title[1]" w:storeItemID="{6C3C8BC8-F283-45AE-878A-BAB7291924A1}"/>
                              <w:text/>
                            </w:sdtPr>
                            <w:sdtEndPr/>
                            <w:sdtContent>
                              <w:p w14:paraId="25194919" w14:textId="56ECC526" w:rsidR="00D202E2" w:rsidRPr="00C80488" w:rsidRDefault="00050F0E" w:rsidP="00DA3A21">
                                <w:pPr>
                                  <w:pStyle w:val="PublicationTitle"/>
                                </w:pPr>
                                <w:r>
                                  <w:t>Administration of measles, mumps and rubella (MMR) vaccine</w:t>
                                </w:r>
                              </w:p>
                            </w:sdtContent>
                          </w:sdt>
                          <w:p w14:paraId="56160438" w14:textId="77777777" w:rsidR="00D202E2" w:rsidRPr="00204BF4" w:rsidRDefault="00D202E2" w:rsidP="00DA3A21">
                            <w:pPr>
                              <w:pStyle w:val="Publicationsubtitle"/>
                            </w:pPr>
                            <w:r>
                              <w:t>Patient group direction (PGD) template</w:t>
                            </w:r>
                          </w:p>
                          <w:p w14:paraId="25ACC4C4" w14:textId="2DF02BA5" w:rsidR="00D202E2" w:rsidRPr="00A70E7E" w:rsidRDefault="00D202E2" w:rsidP="007B4E57">
                            <w:pPr>
                              <w:pStyle w:val="Publicationdate"/>
                            </w:pPr>
                            <w:r w:rsidRPr="00A70E7E">
                              <w:t>Publication date:</w:t>
                            </w:r>
                            <w:r>
                              <w:t xml:space="preserve"> </w:t>
                            </w:r>
                            <w:bookmarkEnd w:id="12"/>
                            <w:bookmarkEnd w:id="11"/>
                            <w:bookmarkEnd w:id="10"/>
                            <w:bookmarkEnd w:id="9"/>
                            <w:bookmarkEnd w:id="8"/>
                            <w:bookmarkEnd w:id="7"/>
                            <w:r w:rsidR="003E2F9E">
                              <w:t xml:space="preserve">1 </w:t>
                            </w:r>
                            <w:r w:rsidR="007B4E57">
                              <w:t>March</w:t>
                            </w:r>
                            <w:r w:rsidR="003E2F9E">
                              <w:t xml:space="preserve"> 2024</w:t>
                            </w:r>
                          </w:p>
                        </w:txbxContent>
                      </wps:txbx>
                      <wps:bodyPr rot="0" vert="horz" wrap="square" lIns="0" tIns="0" rIns="0" bIns="0" anchor="t" anchorCtr="0" upright="1">
                        <a:noAutofit/>
                      </wps:bodyPr>
                    </wps:wsp>
                  </a:graphicData>
                </a:graphic>
              </wp:inline>
            </w:drawing>
          </mc:Choice>
          <mc:Fallback>
            <w:pict>
              <v:shapetype w14:anchorId="05F5C9F4" id="_x0000_t202" coordsize="21600,21600" o:spt="202" path="m,l,21600r21600,l21600,xe">
                <v:stroke joinstyle="miter"/>
                <v:path gradientshapeok="t" o:connecttype="rect"/>
              </v:shapetype>
              <v:shape id="Text Box 12" o:spid="_x0000_s1026" type="#_x0000_t202" style="width:439.35pt;height:34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brW1wEAAJIDAAAOAAAAZHJzL2Uyb0RvYy54bWysU1Fv0zAQfkfiP1h+p2lHB1XUdBqbhpAG&#10;Qxr8gItjJxGJz5zdJuXXc3aaDtjbRB6s89n+7vu+u2yvxr4TB02+RVvI1WIphbYKq9bWhfz+7e7N&#10;RgofwFbQodWFPGovr3avX20Hl+sLbLCrNAkGsT4fXCGbEFyeZV41uge/QKctHxqkHgJvqc4qgoHR&#10;+y67WC7fZQNS5QiV9p6zt9Oh3CV8Y7QKD8Z4HURXSOYW0kppLeOa7baQ1wSuadWJBryARQ+t5aJn&#10;qFsIIPbUPoPqW0Xo0YSFwj5DY1qlkwZWs1r+o+axAaeTFjbHu7NN/v/Bqi+HR/eVRBg/4MgNTCK8&#10;u0f1wwuLNw3YWl8T4dBoqLjwKlqWDc7np6fRap/7CFIOn7HiJsM+YAIaDfXRFdYpGJ0bcDybrscg&#10;FCcvLzdL/qRQfLZ+u36/Wm9SDcjn5458+KixFzEoJHFXEzwc7n2IdCCfr8RqFu/arkud7exfCb4Y&#10;M4l+ZDxxD2M58u0oo8TqyEIIp0HhweagQfolxcBDUkj/cw+kpeg+WTYjTtQc0ByUcwBW8dNCBimm&#10;8CZMk7d31NYNI092W7xmw0ybpDyxOPHkxieFpyGNk/XnPt16+pV2vwEAAP//AwBQSwMEFAAGAAgA&#10;AAAhACMxmebcAAAABQEAAA8AAABkcnMvZG93bnJldi54bWxMj8FOwzAQRO9I/IO1SNyoU4TSkMap&#10;KgQnJEQaDhydeJtYjdchdtvw9yxcymWl0Yxm3hab2Q3ihFOwnhQsFwkIpNYbS52Cj/rlLgMRoiaj&#10;B0+o4BsDbMrrq0Lnxp+pwtMudoJLKORaQR/jmEsZ2h6dDgs/IrG395PTkeXUSTPpM5e7Qd4nSSqd&#10;tsQLvR7xqcf2sDs6BdtPqp7t11vzXu0rW9ePCb2mB6Vub+btGkTEOV7C8IvP6FAyU+OPZIIYFPAj&#10;8e+yl62yFYhGQZo9pCDLQv6nL38AAAD//wMAUEsBAi0AFAAGAAgAAAAhALaDOJL+AAAA4QEAABMA&#10;AAAAAAAAAAAAAAAAAAAAAFtDb250ZW50X1R5cGVzXS54bWxQSwECLQAUAAYACAAAACEAOP0h/9YA&#10;AACUAQAACwAAAAAAAAAAAAAAAAAvAQAAX3JlbHMvLnJlbHNQSwECLQAUAAYACAAAACEAlVG61tcB&#10;AACSAwAADgAAAAAAAAAAAAAAAAAuAgAAZHJzL2Uyb0RvYy54bWxQSwECLQAUAAYACAAAACEAIzGZ&#10;5twAAAAFAQAADwAAAAAAAAAAAAAAAAAxBAAAZHJzL2Rvd25yZXYueG1sUEsFBgAAAAAEAAQA8wAA&#10;ADoFAAAAAA==&#10;" filled="f" stroked="f">
                <v:textbox inset="0,0,0,0">
                  <w:txbxContent>
                    <w:bookmarkStart w:id="13" w:name="_Toc322599008" w:displacedByCustomXml="next"/>
                    <w:bookmarkStart w:id="14" w:name="_Toc322600015" w:displacedByCustomXml="next"/>
                    <w:bookmarkStart w:id="15" w:name="_Toc322600037" w:displacedByCustomXml="next"/>
                    <w:bookmarkStart w:id="16" w:name="_Toc323040046" w:displacedByCustomXml="next"/>
                    <w:bookmarkStart w:id="17" w:name="_Toc324429932" w:displacedByCustomXml="next"/>
                    <w:bookmarkStart w:id="18" w:name="_Toc324429979" w:displacedByCustomXml="next"/>
                    <w:sdt>
                      <w:sdtPr>
                        <w:alias w:val="Title"/>
                        <w:tag w:val=""/>
                        <w:id w:val="1997915227"/>
                        <w:placeholder>
                          <w:docPart w:val="43F92F7667AE4EE1A4FABC353B94AF53"/>
                        </w:placeholder>
                        <w:dataBinding w:prefixMappings="xmlns:ns0='http://purl.org/dc/elements/1.1/' xmlns:ns1='http://schemas.openxmlformats.org/package/2006/metadata/core-properties' " w:xpath="/ns1:coreProperties[1]/ns0:title[1]" w:storeItemID="{6C3C8BC8-F283-45AE-878A-BAB7291924A1}"/>
                        <w:text/>
                      </w:sdtPr>
                      <w:sdtContent>
                        <w:p w14:paraId="25194919" w14:textId="56ECC526" w:rsidR="00D202E2" w:rsidRPr="00C80488" w:rsidRDefault="00050F0E" w:rsidP="00DA3A21">
                          <w:pPr>
                            <w:pStyle w:val="PublicationTitle"/>
                          </w:pPr>
                          <w:r>
                            <w:t xml:space="preserve">Administration of measles, </w:t>
                          </w:r>
                          <w:proofErr w:type="gramStart"/>
                          <w:r>
                            <w:t>mumps</w:t>
                          </w:r>
                          <w:proofErr w:type="gramEnd"/>
                          <w:r>
                            <w:t xml:space="preserve"> and rubella (MMR) vaccine</w:t>
                          </w:r>
                        </w:p>
                      </w:sdtContent>
                    </w:sdt>
                    <w:p w14:paraId="56160438" w14:textId="77777777" w:rsidR="00D202E2" w:rsidRPr="00204BF4" w:rsidRDefault="00D202E2" w:rsidP="00DA3A21">
                      <w:pPr>
                        <w:pStyle w:val="Publicationsubtitle"/>
                      </w:pPr>
                      <w:r>
                        <w:t>Patient group direction (PGD) template</w:t>
                      </w:r>
                    </w:p>
                    <w:p w14:paraId="25ACC4C4" w14:textId="2DF02BA5" w:rsidR="00D202E2" w:rsidRPr="00A70E7E" w:rsidRDefault="00D202E2" w:rsidP="007B4E57">
                      <w:pPr>
                        <w:pStyle w:val="Publicationdate"/>
                      </w:pPr>
                      <w:r w:rsidRPr="00A70E7E">
                        <w:t>Publication date:</w:t>
                      </w:r>
                      <w:r>
                        <w:t xml:space="preserve"> </w:t>
                      </w:r>
                      <w:bookmarkEnd w:id="18"/>
                      <w:bookmarkEnd w:id="17"/>
                      <w:bookmarkEnd w:id="16"/>
                      <w:bookmarkEnd w:id="15"/>
                      <w:bookmarkEnd w:id="14"/>
                      <w:bookmarkEnd w:id="13"/>
                      <w:r w:rsidR="003E2F9E">
                        <w:t xml:space="preserve">1 </w:t>
                      </w:r>
                      <w:r w:rsidR="007B4E57">
                        <w:t>March</w:t>
                      </w:r>
                      <w:r w:rsidR="003E2F9E">
                        <w:t xml:space="preserve"> 2024</w:t>
                      </w:r>
                    </w:p>
                  </w:txbxContent>
                </v:textbox>
                <w10:anchorlock/>
              </v:shape>
            </w:pict>
          </mc:Fallback>
        </mc:AlternateContent>
      </w:r>
    </w:p>
    <w:p w14:paraId="73A56B91" w14:textId="77777777" w:rsidR="00CA59CF" w:rsidRDefault="00CA59CF" w:rsidP="00CA59CF">
      <w:r>
        <w:rPr>
          <w:noProof/>
          <w:lang w:eastAsia="en-GB"/>
        </w:rPr>
        <w:lastRenderedPageBreak/>
        <w:drawing>
          <wp:inline distT="0" distB="0" distL="0" distR="0" wp14:anchorId="64161099" wp14:editId="3D87A848">
            <wp:extent cx="5759450" cy="1092835"/>
            <wp:effectExtent l="0" t="0" r="0" b="0"/>
            <wp:docPr id="15" name="Picture 15" descr="Alternative format options icons showing, translations, easy read, BSL, audio, large print and Br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ternative format options icons showing, translations, easy read, BSL, audio, large print and Braill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1092835"/>
                    </a:xfrm>
                    <a:prstGeom prst="rect">
                      <a:avLst/>
                    </a:prstGeom>
                    <a:noFill/>
                    <a:ln>
                      <a:noFill/>
                    </a:ln>
                  </pic:spPr>
                </pic:pic>
              </a:graphicData>
            </a:graphic>
          </wp:inline>
        </w:drawing>
      </w:r>
    </w:p>
    <w:p w14:paraId="2C1C94EF" w14:textId="77777777" w:rsidR="00CA59CF" w:rsidRDefault="00CA59CF" w:rsidP="00CA59CF">
      <w:pPr>
        <w:pStyle w:val="ImprintpagetextEditorialuseonly"/>
      </w:pPr>
      <w:r>
        <w:t>Translations and other formats are available on request at:</w:t>
      </w:r>
    </w:p>
    <w:p w14:paraId="5F8A6705" w14:textId="77777777" w:rsidR="00CA59CF" w:rsidRDefault="00CA59CF" w:rsidP="00CA59CF">
      <w:pPr>
        <w:pStyle w:val="ImprintpagetextEditorialuseonly"/>
        <w:rPr>
          <w:rStyle w:val="Bold"/>
        </w:rPr>
      </w:pPr>
      <w:r>
        <w:rPr>
          <w:noProof/>
          <w:position w:val="-14"/>
          <w:lang w:eastAsia="en-GB"/>
        </w:rPr>
        <w:drawing>
          <wp:inline distT="0" distB="0" distL="0" distR="0" wp14:anchorId="184F9ED0" wp14:editId="12491652">
            <wp:extent cx="285115" cy="273050"/>
            <wp:effectExtent l="0" t="0" r="635" b="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5115" cy="273050"/>
                    </a:xfrm>
                    <a:prstGeom prst="rect">
                      <a:avLst/>
                    </a:prstGeom>
                    <a:noFill/>
                    <a:ln>
                      <a:noFill/>
                    </a:ln>
                  </pic:spPr>
                </pic:pic>
              </a:graphicData>
            </a:graphic>
          </wp:inline>
        </w:drawing>
      </w:r>
      <w:r>
        <w:rPr>
          <w:rStyle w:val="ImprintpageiconsEditorialuseonly"/>
        </w:rPr>
        <w:t xml:space="preserve"> </w:t>
      </w:r>
      <w:hyperlink r:id="rId16" w:history="1">
        <w:r w:rsidRPr="00C11B24">
          <w:rPr>
            <w:rStyle w:val="Hyperlink"/>
          </w:rPr>
          <w:t>phs.otherformats@phs.scot</w:t>
        </w:r>
      </w:hyperlink>
      <w:r>
        <w:rPr>
          <w:b/>
          <w:bCs/>
          <w:color w:val="43358B"/>
        </w:rPr>
        <w:br/>
      </w:r>
      <w:r>
        <w:rPr>
          <w:noProof/>
          <w:position w:val="-14"/>
          <w:lang w:eastAsia="en-GB"/>
        </w:rPr>
        <w:drawing>
          <wp:inline distT="0" distB="0" distL="0" distR="0" wp14:anchorId="3C360E55" wp14:editId="61443F9B">
            <wp:extent cx="285115" cy="285115"/>
            <wp:effectExtent l="0" t="0" r="635" b="635"/>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5115" cy="285115"/>
                    </a:xfrm>
                    <a:prstGeom prst="rect">
                      <a:avLst/>
                    </a:prstGeom>
                    <a:noFill/>
                    <a:ln>
                      <a:noFill/>
                    </a:ln>
                  </pic:spPr>
                </pic:pic>
              </a:graphicData>
            </a:graphic>
          </wp:inline>
        </w:drawing>
      </w:r>
      <w:r>
        <w:rPr>
          <w:rStyle w:val="ImprintpageiconsEditorialuseonly"/>
        </w:rPr>
        <w:t xml:space="preserve"> </w:t>
      </w:r>
      <w:r>
        <w:rPr>
          <w:rStyle w:val="Bold"/>
        </w:rPr>
        <w:t>0131 314 5300</w:t>
      </w:r>
    </w:p>
    <w:p w14:paraId="5B9F0E9F" w14:textId="77777777" w:rsidR="00CA59CF" w:rsidRDefault="00CA59CF" w:rsidP="00CA59CF">
      <w:pPr>
        <w:pStyle w:val="ImprintpagetextEditorialuseonly"/>
        <w:rPr>
          <w:rStyle w:val="Bold"/>
        </w:rPr>
      </w:pPr>
    </w:p>
    <w:p w14:paraId="0000C182" w14:textId="77777777" w:rsidR="00CA59CF" w:rsidRDefault="00CA59CF" w:rsidP="00CA59CF">
      <w:pPr>
        <w:pStyle w:val="ImprintpagetextEditorialuseonly"/>
        <w:rPr>
          <w:rStyle w:val="Bold"/>
        </w:rPr>
      </w:pPr>
    </w:p>
    <w:p w14:paraId="380C403D" w14:textId="77777777" w:rsidR="00CA59CF" w:rsidRDefault="00CA59CF" w:rsidP="00CA59CF">
      <w:pPr>
        <w:pStyle w:val="ImprintpagetextEditorialuseonly"/>
        <w:spacing w:after="360"/>
      </w:pPr>
      <w:r>
        <w:t xml:space="preserve">Public Health Scotland is Scotland's </w:t>
      </w:r>
      <w:r>
        <w:br/>
        <w:t xml:space="preserve">national agency for improving and </w:t>
      </w:r>
      <w:r>
        <w:br/>
        <w:t xml:space="preserve">protecting the health and wellbeing </w:t>
      </w:r>
      <w:r>
        <w:br/>
        <w:t>of Scotland's people.</w:t>
      </w:r>
    </w:p>
    <w:p w14:paraId="49093DDA" w14:textId="27F35BB0" w:rsidR="00CA59CF" w:rsidRDefault="00CA59CF" w:rsidP="00CA59CF">
      <w:pPr>
        <w:pStyle w:val="ImprintpagetextEditorialuseonly"/>
      </w:pPr>
      <w:r>
        <w:t>© Public Health Scotland</w:t>
      </w:r>
      <w:r w:rsidR="007544E3">
        <w:t xml:space="preserve"> </w:t>
      </w:r>
      <w:r w:rsidR="00050F0E">
        <w:t>202</w:t>
      </w:r>
      <w:r w:rsidR="003E2F9E">
        <w:t>4</w:t>
      </w:r>
    </w:p>
    <w:p w14:paraId="0296A5B9" w14:textId="77777777" w:rsidR="00CA59CF" w:rsidRDefault="00CA59CF" w:rsidP="00CA59CF">
      <w:pPr>
        <w:pStyle w:val="ImprintpagetextEditorialuseonly"/>
      </w:pPr>
    </w:p>
    <w:p w14:paraId="68604F4B" w14:textId="77777777" w:rsidR="00CA59CF" w:rsidRPr="007A5E73" w:rsidRDefault="00CA59CF" w:rsidP="00CA59CF">
      <w:pPr>
        <w:pStyle w:val="ImprintpagetextEditorialuseonly"/>
      </w:pPr>
      <w:r w:rsidRPr="007A5E73">
        <w:rPr>
          <w:noProof/>
          <w:lang w:eastAsia="en-GB"/>
        </w:rPr>
        <w:drawing>
          <wp:inline distT="0" distB="0" distL="0" distR="0" wp14:anchorId="605F41F0" wp14:editId="4171748C">
            <wp:extent cx="902335" cy="427355"/>
            <wp:effectExtent l="0" t="0" r="0" b="0"/>
            <wp:docPr id="7" name="Picture 7" descr="Open Government Lice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pen Government Licence logo"/>
                    <pic:cNvPicPr>
                      <a:picLocks noChangeAspect="1" noChangeArrowheads="1"/>
                    </pic:cNvPicPr>
                  </pic:nvPicPr>
                  <pic:blipFill>
                    <a:blip r:embed="rId18">
                      <a:extLst>
                        <a:ext uri="{28A0092B-C50C-407E-A947-70E740481C1C}">
                          <a14:useLocalDpi xmlns:a14="http://schemas.microsoft.com/office/drawing/2010/main" val="0"/>
                        </a:ext>
                      </a:extLst>
                    </a:blip>
                    <a:srcRect t="4553"/>
                    <a:stretch>
                      <a:fillRect/>
                    </a:stretch>
                  </pic:blipFill>
                  <pic:spPr bwMode="auto">
                    <a:xfrm>
                      <a:off x="0" y="0"/>
                      <a:ext cx="902335" cy="427355"/>
                    </a:xfrm>
                    <a:prstGeom prst="rect">
                      <a:avLst/>
                    </a:prstGeom>
                    <a:noFill/>
                    <a:ln>
                      <a:noFill/>
                    </a:ln>
                  </pic:spPr>
                </pic:pic>
              </a:graphicData>
            </a:graphic>
          </wp:inline>
        </w:drawing>
      </w:r>
      <w:r w:rsidRPr="007A5E73">
        <w:br/>
        <w:t xml:space="preserve">This publication is licensed for re-use </w:t>
      </w:r>
      <w:r w:rsidRPr="007A5E73">
        <w:br/>
        <w:t xml:space="preserve">under the </w:t>
      </w:r>
      <w:hyperlink r:id="rId19" w:history="1">
        <w:r w:rsidRPr="007A5E73">
          <w:rPr>
            <w:rStyle w:val="Hyperlink"/>
          </w:rPr>
          <w:t>Open Government Licence v3.0</w:t>
        </w:r>
      </w:hyperlink>
      <w:r w:rsidRPr="007A5E73">
        <w:t>.</w:t>
      </w:r>
    </w:p>
    <w:p w14:paraId="51CEED14" w14:textId="77777777" w:rsidR="00CA59CF" w:rsidRPr="007A5E73" w:rsidRDefault="00CA59CF" w:rsidP="00CA59CF">
      <w:pPr>
        <w:pStyle w:val="ImprintpagetextEditorialuseonly"/>
        <w:rPr>
          <w:rStyle w:val="Hyperlink"/>
        </w:rPr>
      </w:pPr>
      <w:r w:rsidRPr="007A5E73">
        <w:t xml:space="preserve">For more information, visit </w:t>
      </w:r>
      <w:r w:rsidRPr="007A5E73">
        <w:br/>
      </w:r>
      <w:hyperlink r:id="rId20" w:history="1">
        <w:r w:rsidRPr="007A5E73">
          <w:rPr>
            <w:rStyle w:val="Hyperlink"/>
          </w:rPr>
          <w:t>www.publichealthscotland.scot/ogl</w:t>
        </w:r>
      </w:hyperlink>
      <w:r w:rsidRPr="007A5E73">
        <w:rPr>
          <w:rStyle w:val="Hyperlink"/>
        </w:rPr>
        <w:t xml:space="preserve"> </w:t>
      </w:r>
    </w:p>
    <w:p w14:paraId="0A69FA47" w14:textId="77777777" w:rsidR="00CA59CF" w:rsidRPr="007A5E73" w:rsidRDefault="00CA59CF" w:rsidP="00CA59CF"/>
    <w:p w14:paraId="1EB31963" w14:textId="77777777" w:rsidR="00CA59CF" w:rsidRPr="007A5E73" w:rsidRDefault="00CA59CF" w:rsidP="00CA59CF">
      <w:pPr>
        <w:rPr>
          <w:rStyle w:val="hidePElogoEditoraluseonly"/>
        </w:rPr>
      </w:pPr>
      <w:r w:rsidRPr="007A5E73">
        <w:rPr>
          <w:noProof/>
          <w:vanish/>
          <w:lang w:eastAsia="en-GB"/>
        </w:rPr>
        <w:drawing>
          <wp:inline distT="0" distB="0" distL="0" distR="0" wp14:anchorId="3890F46E" wp14:editId="2BFDE413">
            <wp:extent cx="1033145" cy="878840"/>
            <wp:effectExtent l="0" t="0" r="0" b="0"/>
            <wp:docPr id="4" name="Picture 4" descr="Plain English Campaig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Plain English Campaign logo"/>
                    <pic:cNvPicPr>
                      <a:picLocks noChangeAspect="1" noChangeArrowheads="1"/>
                    </pic:cNvPicPr>
                  </pic:nvPicPr>
                  <pic:blipFill>
                    <a:blip r:embed="rId21">
                      <a:extLst>
                        <a:ext uri="{28A0092B-C50C-407E-A947-70E740481C1C}">
                          <a14:useLocalDpi xmlns:a14="http://schemas.microsoft.com/office/drawing/2010/main" val="0"/>
                        </a:ext>
                      </a:extLst>
                    </a:blip>
                    <a:srcRect l="21" r="21"/>
                    <a:stretch>
                      <a:fillRect/>
                    </a:stretch>
                  </pic:blipFill>
                  <pic:spPr bwMode="auto">
                    <a:xfrm>
                      <a:off x="0" y="0"/>
                      <a:ext cx="1033145" cy="878840"/>
                    </a:xfrm>
                    <a:prstGeom prst="rect">
                      <a:avLst/>
                    </a:prstGeom>
                    <a:noFill/>
                    <a:ln>
                      <a:noFill/>
                    </a:ln>
                  </pic:spPr>
                </pic:pic>
              </a:graphicData>
            </a:graphic>
          </wp:inline>
        </w:drawing>
      </w:r>
      <w:r w:rsidRPr="007A5E73">
        <w:rPr>
          <w:rStyle w:val="hidePElogoEditoraluseonly"/>
        </w:rPr>
        <w:t xml:space="preserve"> </w:t>
      </w:r>
      <w:r w:rsidR="00C146BF">
        <w:rPr>
          <w:rStyle w:val="hidePElogoEditoraluseonly"/>
        </w:rPr>
        <w:t xml:space="preserve">  </w:t>
      </w:r>
    </w:p>
    <w:p w14:paraId="57E1A927" w14:textId="77777777" w:rsidR="00292910" w:rsidRPr="007A5E73" w:rsidRDefault="00F4790A" w:rsidP="00CA59CF">
      <w:pPr>
        <w:rPr>
          <w:lang w:val="en-US"/>
        </w:rPr>
        <w:sectPr w:rsidR="00292910" w:rsidRPr="007A5E73" w:rsidSect="0039525D">
          <w:footerReference w:type="default" r:id="rId22"/>
          <w:footnotePr>
            <w:numFmt w:val="lowerRoman"/>
          </w:footnotePr>
          <w:endnotePr>
            <w:numFmt w:val="decimal"/>
          </w:endnotePr>
          <w:pgSz w:w="11906" w:h="16838"/>
          <w:pgMar w:top="851" w:right="1418" w:bottom="1134" w:left="1418" w:header="680" w:footer="624" w:gutter="0"/>
          <w:pgNumType w:start="1"/>
          <w:cols w:space="708"/>
          <w:docGrid w:linePitch="360"/>
        </w:sectPr>
      </w:pPr>
      <w:hyperlink r:id="rId23" w:history="1">
        <w:r w:rsidR="00CA59CF" w:rsidRPr="007A5E73">
          <w:rPr>
            <w:rStyle w:val="ImprintPHSlinkEditorialuseonly"/>
          </w:rPr>
          <w:t>www.publichealthscotland.scot</w:t>
        </w:r>
      </w:hyperlink>
    </w:p>
    <w:p w14:paraId="0723343C" w14:textId="77777777" w:rsidR="00B060A4" w:rsidRPr="000D322E" w:rsidRDefault="0024328C" w:rsidP="00B060A4">
      <w:pPr>
        <w:pStyle w:val="TOCHeading"/>
      </w:pPr>
      <w:r>
        <w:lastRenderedPageBreak/>
        <w:t>Most recent changes</w:t>
      </w:r>
    </w:p>
    <w:tbl>
      <w:tblPr>
        <w:tblStyle w:val="TableGrid"/>
        <w:tblW w:w="9209" w:type="dxa"/>
        <w:tblLayout w:type="fixed"/>
        <w:tblLook w:val="0620" w:firstRow="1" w:lastRow="0" w:firstColumn="0" w:lastColumn="0" w:noHBand="1" w:noVBand="1"/>
      </w:tblPr>
      <w:tblGrid>
        <w:gridCol w:w="1247"/>
        <w:gridCol w:w="1725"/>
        <w:gridCol w:w="6237"/>
      </w:tblGrid>
      <w:tr w:rsidR="0008698D" w14:paraId="06756381" w14:textId="77777777" w:rsidTr="0008698D">
        <w:trPr>
          <w:cnfStyle w:val="100000000000" w:firstRow="1" w:lastRow="0" w:firstColumn="0" w:lastColumn="0" w:oddVBand="0" w:evenVBand="0" w:oddHBand="0" w:evenHBand="0" w:firstRowFirstColumn="0" w:firstRowLastColumn="0" w:lastRowFirstColumn="0" w:lastRowLastColumn="0"/>
          <w:trHeight w:val="397"/>
        </w:trPr>
        <w:tc>
          <w:tcPr>
            <w:tcW w:w="1247" w:type="dxa"/>
          </w:tcPr>
          <w:p w14:paraId="0B7C3F98" w14:textId="746A8A15" w:rsidR="0008698D" w:rsidRDefault="0008698D" w:rsidP="0008698D">
            <w:pPr>
              <w:pStyle w:val="TableHead"/>
            </w:pPr>
            <w:r>
              <w:t>Version</w:t>
            </w:r>
          </w:p>
        </w:tc>
        <w:tc>
          <w:tcPr>
            <w:tcW w:w="1725" w:type="dxa"/>
          </w:tcPr>
          <w:p w14:paraId="38A06F9A" w14:textId="585BD76A" w:rsidR="0008698D" w:rsidRPr="00EB5CB8" w:rsidRDefault="0008698D" w:rsidP="0008698D">
            <w:pPr>
              <w:pStyle w:val="TableHead"/>
            </w:pPr>
            <w:r>
              <w:t>Date</w:t>
            </w:r>
          </w:p>
        </w:tc>
        <w:tc>
          <w:tcPr>
            <w:tcW w:w="6237" w:type="dxa"/>
          </w:tcPr>
          <w:p w14:paraId="7DE6486C" w14:textId="5FF19C42" w:rsidR="0008698D" w:rsidRPr="00755CA3" w:rsidRDefault="0008698D" w:rsidP="0008698D">
            <w:pPr>
              <w:pStyle w:val="TableHead"/>
            </w:pPr>
            <w:r>
              <w:t>Summary of changes</w:t>
            </w:r>
          </w:p>
        </w:tc>
      </w:tr>
      <w:tr w:rsidR="005E5B1E" w14:paraId="0A4E0A1B" w14:textId="77777777" w:rsidTr="0008698D">
        <w:trPr>
          <w:trHeight w:val="397"/>
        </w:trPr>
        <w:tc>
          <w:tcPr>
            <w:tcW w:w="1247" w:type="dxa"/>
          </w:tcPr>
          <w:p w14:paraId="6E2F5970" w14:textId="551558D6" w:rsidR="005E5B1E" w:rsidRPr="00EB5CB8" w:rsidRDefault="00BA11DE" w:rsidP="00577E32">
            <w:pPr>
              <w:pStyle w:val="TableBody"/>
            </w:pPr>
            <w:bookmarkStart w:id="13" w:name="_Hlk118373507"/>
            <w:r>
              <w:t>2.1</w:t>
            </w:r>
          </w:p>
        </w:tc>
        <w:tc>
          <w:tcPr>
            <w:tcW w:w="1725" w:type="dxa"/>
          </w:tcPr>
          <w:p w14:paraId="29870996" w14:textId="1BD4CCBA" w:rsidR="005E5B1E" w:rsidRPr="00EB5CB8" w:rsidRDefault="005E5B1E" w:rsidP="00577E32">
            <w:pPr>
              <w:pStyle w:val="TableBody"/>
            </w:pPr>
            <w:r w:rsidRPr="00EB5CB8">
              <w:t xml:space="preserve">1 </w:t>
            </w:r>
            <w:r w:rsidR="007B4E57">
              <w:t>March</w:t>
            </w:r>
            <w:r w:rsidRPr="00EB5CB8">
              <w:t xml:space="preserve"> 202</w:t>
            </w:r>
            <w:r w:rsidR="00496229">
              <w:t>4</w:t>
            </w:r>
          </w:p>
        </w:tc>
        <w:tc>
          <w:tcPr>
            <w:tcW w:w="6237" w:type="dxa"/>
          </w:tcPr>
          <w:p w14:paraId="3E1C3108" w14:textId="71422B75" w:rsidR="00BA11DE" w:rsidRPr="00755CA3" w:rsidRDefault="00BA11DE" w:rsidP="00BA11DE">
            <w:pPr>
              <w:pStyle w:val="Tablebullet1"/>
              <w:numPr>
                <w:ilvl w:val="0"/>
                <w:numId w:val="0"/>
              </w:numPr>
              <w:ind w:left="360"/>
            </w:pPr>
            <w:r w:rsidRPr="00755CA3">
              <w:t xml:space="preserve">The following changes to version </w:t>
            </w:r>
            <w:r>
              <w:t>2</w:t>
            </w:r>
            <w:r w:rsidRPr="00755CA3">
              <w:t>.0 of the PGD have been made: </w:t>
            </w:r>
          </w:p>
          <w:p w14:paraId="4319569A" w14:textId="77777777" w:rsidR="00BA11DE" w:rsidRDefault="00BA11DE" w:rsidP="00BA11DE">
            <w:pPr>
              <w:pStyle w:val="Tablebullet1"/>
              <w:numPr>
                <w:ilvl w:val="0"/>
                <w:numId w:val="0"/>
              </w:numPr>
              <w:ind w:left="720" w:hanging="360"/>
            </w:pPr>
          </w:p>
          <w:p w14:paraId="47DE9C89" w14:textId="125E34B9" w:rsidR="00857E02" w:rsidRDefault="00857E02" w:rsidP="009476B3">
            <w:pPr>
              <w:pStyle w:val="Tablebullet1"/>
            </w:pPr>
            <w:r>
              <w:t>This PGD has undergone minor rewording, layout, formatting changes for clarity and consistency with other PHS national specimen PGDs.</w:t>
            </w:r>
          </w:p>
          <w:p w14:paraId="43E0F464" w14:textId="77777777" w:rsidR="00857E02" w:rsidRDefault="00850628" w:rsidP="009476B3">
            <w:pPr>
              <w:pStyle w:val="Tablebullet1"/>
            </w:pPr>
            <w:r>
              <w:t xml:space="preserve">Inclusion </w:t>
            </w:r>
            <w:r w:rsidR="004B44FE">
              <w:t>criteria</w:t>
            </w:r>
            <w:r w:rsidR="000B1924">
              <w:t xml:space="preserve">, frequency and reference section updated to remove </w:t>
            </w:r>
            <w:r w:rsidR="00EB54BB">
              <w:t xml:space="preserve">MMR use under this PGD for </w:t>
            </w:r>
            <w:r w:rsidR="004D6837">
              <w:t>individuals who have</w:t>
            </w:r>
            <w:r w:rsidR="004D6837" w:rsidRPr="004D6837">
              <w:t xml:space="preserve"> received a haemopoietic stem cell transplant.</w:t>
            </w:r>
          </w:p>
          <w:p w14:paraId="2D2066F4" w14:textId="77777777" w:rsidR="004D6837" w:rsidRDefault="00DC0B3D" w:rsidP="009476B3">
            <w:pPr>
              <w:pStyle w:val="Tablebullet1"/>
            </w:pPr>
            <w:r>
              <w:t>Exclusion criteria and action if excluded sections updated to specify live</w:t>
            </w:r>
            <w:r w:rsidR="00E626C4">
              <w:t xml:space="preserve"> shingles vaccine.</w:t>
            </w:r>
          </w:p>
          <w:p w14:paraId="183A12D9" w14:textId="77777777" w:rsidR="00E626C4" w:rsidRDefault="00E626C4" w:rsidP="009476B3">
            <w:pPr>
              <w:pStyle w:val="Tablebullet1"/>
            </w:pPr>
            <w:r>
              <w:t xml:space="preserve">Frequency section updated to reference UKHSA </w:t>
            </w:r>
            <w:r w:rsidR="003C2F58">
              <w:t>National Measles Guidance</w:t>
            </w:r>
          </w:p>
          <w:p w14:paraId="0A9C1165" w14:textId="77777777" w:rsidR="009476B3" w:rsidRDefault="009476B3" w:rsidP="009476B3">
            <w:pPr>
              <w:pStyle w:val="Tablebullet1"/>
            </w:pPr>
            <w:r w:rsidRPr="00F91DB4">
              <w:t>Observation following vaccination section updated to include advice on driving post-immunisation.</w:t>
            </w:r>
          </w:p>
          <w:p w14:paraId="368E4085" w14:textId="049D634E" w:rsidR="009476B3" w:rsidRPr="00EB5CB8" w:rsidRDefault="009476B3" w:rsidP="009476B3">
            <w:pPr>
              <w:pStyle w:val="Tablebullet1"/>
              <w:numPr>
                <w:ilvl w:val="0"/>
                <w:numId w:val="0"/>
              </w:numPr>
              <w:ind w:left="720"/>
            </w:pPr>
          </w:p>
        </w:tc>
      </w:tr>
      <w:bookmarkEnd w:id="13"/>
    </w:tbl>
    <w:p w14:paraId="59B290D3" w14:textId="77777777" w:rsidR="00B060A4" w:rsidRDefault="00B060A4" w:rsidP="00B060A4"/>
    <w:p w14:paraId="326AD5AE" w14:textId="77777777" w:rsidR="00B060A4" w:rsidRPr="00B060A4" w:rsidRDefault="00B060A4" w:rsidP="00B060A4">
      <w:pPr>
        <w:sectPr w:rsidR="00B060A4" w:rsidRPr="00B060A4" w:rsidSect="0039525D">
          <w:footerReference w:type="default" r:id="rId24"/>
          <w:footnotePr>
            <w:numFmt w:val="lowerRoman"/>
          </w:footnotePr>
          <w:endnotePr>
            <w:numFmt w:val="decimal"/>
          </w:endnotePr>
          <w:pgSz w:w="11906" w:h="16838"/>
          <w:pgMar w:top="1418" w:right="1418" w:bottom="1531" w:left="1418" w:header="680" w:footer="624" w:gutter="0"/>
          <w:pgNumType w:start="1"/>
          <w:cols w:space="708"/>
          <w:docGrid w:linePitch="360"/>
        </w:sectPr>
      </w:pPr>
    </w:p>
    <w:p w14:paraId="479444AF" w14:textId="77777777" w:rsidR="00E10A35" w:rsidRDefault="00E10A35" w:rsidP="00E10A35">
      <w:pPr>
        <w:pStyle w:val="TOCHeading"/>
      </w:pPr>
      <w:r w:rsidRPr="00E10A35">
        <w:lastRenderedPageBreak/>
        <w:t>Contents</w:t>
      </w:r>
    </w:p>
    <w:p w14:paraId="1E1BCA90" w14:textId="4450B7BB" w:rsidR="007F2AC1" w:rsidRDefault="007F2AC1" w:rsidP="007B4E57">
      <w:pPr>
        <w:pStyle w:val="TOC1"/>
        <w:rPr>
          <w:lang w:val="en-US"/>
        </w:rPr>
      </w:pPr>
      <w:r>
        <w:rPr>
          <w:lang w:val="en-US"/>
        </w:rPr>
        <w:t xml:space="preserve">Most recent changes </w:t>
      </w:r>
      <w:r>
        <w:rPr>
          <w:lang w:val="en-US"/>
        </w:rPr>
        <w:tab/>
      </w:r>
      <w:r w:rsidR="002F05F7">
        <w:rPr>
          <w:lang w:val="en-US"/>
        </w:rPr>
        <w:t>1</w:t>
      </w:r>
    </w:p>
    <w:p w14:paraId="2B36B9C0" w14:textId="4F0AFEEB" w:rsidR="007F2AC1" w:rsidRDefault="007F2AC1" w:rsidP="007B4E57">
      <w:pPr>
        <w:pStyle w:val="TOC1"/>
        <w:rPr>
          <w:lang w:val="en-US"/>
        </w:rPr>
      </w:pPr>
      <w:r>
        <w:rPr>
          <w:lang w:val="en-US"/>
        </w:rPr>
        <w:t>Authorisation</w:t>
      </w:r>
      <w:r>
        <w:rPr>
          <w:lang w:val="en-US"/>
        </w:rPr>
        <w:tab/>
      </w:r>
      <w:r w:rsidR="002F05F7">
        <w:rPr>
          <w:lang w:val="en-US"/>
        </w:rPr>
        <w:t>3</w:t>
      </w:r>
    </w:p>
    <w:p w14:paraId="6D80C081" w14:textId="4DF91BA0" w:rsidR="007F2AC1" w:rsidRDefault="007F2AC1" w:rsidP="007B4E57">
      <w:pPr>
        <w:pStyle w:val="TOC1"/>
        <w:rPr>
          <w:lang w:val="en-US"/>
        </w:rPr>
      </w:pPr>
      <w:r w:rsidRPr="007F2AC1">
        <w:rPr>
          <w:lang w:val="en-US"/>
        </w:rPr>
        <w:t>1.</w:t>
      </w:r>
      <w:r>
        <w:rPr>
          <w:lang w:val="en-US"/>
        </w:rPr>
        <w:t xml:space="preserve"> </w:t>
      </w:r>
      <w:r w:rsidRPr="007F2AC1">
        <w:rPr>
          <w:lang w:val="en-US"/>
        </w:rPr>
        <w:t>Clinical situation</w:t>
      </w:r>
      <w:r>
        <w:rPr>
          <w:lang w:val="en-US"/>
        </w:rPr>
        <w:tab/>
      </w:r>
      <w:r w:rsidR="002F05F7">
        <w:rPr>
          <w:lang w:val="en-US"/>
        </w:rPr>
        <w:t>4</w:t>
      </w:r>
    </w:p>
    <w:p w14:paraId="7F66192F" w14:textId="69803698" w:rsidR="007F2AC1" w:rsidRPr="007F2AC1" w:rsidRDefault="007F2AC1" w:rsidP="007B4E57">
      <w:pPr>
        <w:pStyle w:val="TOC1"/>
        <w:rPr>
          <w:lang w:val="en-US"/>
        </w:rPr>
      </w:pPr>
      <w:r w:rsidRPr="007F2AC1">
        <w:rPr>
          <w:lang w:val="en-US"/>
        </w:rPr>
        <w:t>2. Description of treatment</w:t>
      </w:r>
      <w:r w:rsidRPr="007F2AC1">
        <w:rPr>
          <w:lang w:val="en-US"/>
        </w:rPr>
        <w:tab/>
      </w:r>
      <w:r w:rsidR="000208D9">
        <w:rPr>
          <w:lang w:val="en-US"/>
        </w:rPr>
        <w:t>9</w:t>
      </w:r>
    </w:p>
    <w:p w14:paraId="0AE117E3" w14:textId="77E68E3C" w:rsidR="007F2AC1" w:rsidRPr="007F2AC1" w:rsidRDefault="007F2AC1" w:rsidP="007B4E57">
      <w:pPr>
        <w:pStyle w:val="TOC1"/>
        <w:rPr>
          <w:lang w:val="en-US"/>
        </w:rPr>
      </w:pPr>
      <w:r w:rsidRPr="007F2AC1">
        <w:rPr>
          <w:lang w:val="en-US"/>
        </w:rPr>
        <w:t>3. Adverse reactions</w:t>
      </w:r>
      <w:r w:rsidRPr="007F2AC1">
        <w:rPr>
          <w:lang w:val="en-US"/>
        </w:rPr>
        <w:tab/>
      </w:r>
      <w:r w:rsidR="002F05F7">
        <w:rPr>
          <w:lang w:val="en-US"/>
        </w:rPr>
        <w:t>14</w:t>
      </w:r>
    </w:p>
    <w:p w14:paraId="785E2405" w14:textId="7A1E8331" w:rsidR="007F2AC1" w:rsidRPr="007F2AC1" w:rsidRDefault="007F2AC1" w:rsidP="007B4E57">
      <w:pPr>
        <w:pStyle w:val="TOC1"/>
        <w:rPr>
          <w:lang w:val="en-US"/>
        </w:rPr>
      </w:pPr>
      <w:r w:rsidRPr="007F2AC1">
        <w:rPr>
          <w:lang w:val="en-US"/>
        </w:rPr>
        <w:t>4. Characteristics of staff authorised under the PGD</w:t>
      </w:r>
      <w:r w:rsidRPr="007F2AC1">
        <w:rPr>
          <w:lang w:val="en-US"/>
        </w:rPr>
        <w:tab/>
      </w:r>
      <w:r w:rsidR="002F05F7">
        <w:rPr>
          <w:lang w:val="en-US"/>
        </w:rPr>
        <w:t>17</w:t>
      </w:r>
    </w:p>
    <w:p w14:paraId="4E98DBBC" w14:textId="22D6E5C6" w:rsidR="007F2AC1" w:rsidRPr="007F2AC1" w:rsidRDefault="007F2AC1" w:rsidP="007B4E57">
      <w:pPr>
        <w:pStyle w:val="TOC1"/>
        <w:rPr>
          <w:lang w:val="en-US"/>
        </w:rPr>
      </w:pPr>
      <w:r w:rsidRPr="007F2AC1">
        <w:rPr>
          <w:lang w:val="en-US"/>
        </w:rPr>
        <w:t>5. Audit trail</w:t>
      </w:r>
      <w:r w:rsidRPr="007F2AC1">
        <w:rPr>
          <w:lang w:val="en-US"/>
        </w:rPr>
        <w:tab/>
      </w:r>
      <w:r w:rsidR="002F05F7">
        <w:rPr>
          <w:lang w:val="en-US"/>
        </w:rPr>
        <w:t>19</w:t>
      </w:r>
    </w:p>
    <w:p w14:paraId="5932A851" w14:textId="12886E14" w:rsidR="007F2AC1" w:rsidRPr="007F2AC1" w:rsidRDefault="007F2AC1" w:rsidP="007B4E57">
      <w:pPr>
        <w:pStyle w:val="TOC1"/>
        <w:rPr>
          <w:lang w:val="en-US"/>
        </w:rPr>
      </w:pPr>
      <w:r w:rsidRPr="007F2AC1">
        <w:rPr>
          <w:lang w:val="en-US"/>
        </w:rPr>
        <w:t>6. Additional references</w:t>
      </w:r>
      <w:r w:rsidRPr="007F2AC1">
        <w:rPr>
          <w:lang w:val="en-US"/>
        </w:rPr>
        <w:tab/>
      </w:r>
      <w:r w:rsidR="002F05F7">
        <w:rPr>
          <w:lang w:val="en-US"/>
        </w:rPr>
        <w:t>20</w:t>
      </w:r>
    </w:p>
    <w:p w14:paraId="07701048" w14:textId="20DD1CE0" w:rsidR="007F2AC1" w:rsidRPr="007F2AC1" w:rsidRDefault="007F2AC1" w:rsidP="007B4E57">
      <w:pPr>
        <w:pStyle w:val="TOC1"/>
        <w:rPr>
          <w:lang w:val="en-US"/>
        </w:rPr>
      </w:pPr>
      <w:r w:rsidRPr="007F2AC1">
        <w:rPr>
          <w:lang w:val="en-US"/>
        </w:rPr>
        <w:t>7. PGD for administration</w:t>
      </w:r>
      <w:r w:rsidR="00BD08F8">
        <w:rPr>
          <w:lang w:val="en-US"/>
        </w:rPr>
        <w:t xml:space="preserve"> of</w:t>
      </w:r>
      <w:r w:rsidRPr="007F2AC1">
        <w:rPr>
          <w:lang w:val="en-US"/>
        </w:rPr>
        <w:t xml:space="preserve"> </w:t>
      </w:r>
      <w:r w:rsidR="00BD08F8" w:rsidRPr="00BD08F8">
        <w:rPr>
          <w:lang w:val="en-US"/>
        </w:rPr>
        <w:t>measles, mumps and rubella vaccine V</w:t>
      </w:r>
      <w:r w:rsidR="00BA11DE">
        <w:rPr>
          <w:lang w:val="en-US"/>
        </w:rPr>
        <w:t>2.1</w:t>
      </w:r>
      <w:r w:rsidR="00BD08F8" w:rsidRPr="00BD08F8">
        <w:rPr>
          <w:lang w:val="en-US"/>
        </w:rPr>
        <w:t xml:space="preserve"> (valid from 1 </w:t>
      </w:r>
      <w:r w:rsidR="007B4E57">
        <w:rPr>
          <w:lang w:val="en-US"/>
        </w:rPr>
        <w:t>March</w:t>
      </w:r>
      <w:r w:rsidR="00BD08F8" w:rsidRPr="00BD08F8">
        <w:rPr>
          <w:lang w:val="en-US"/>
        </w:rPr>
        <w:t xml:space="preserve"> 202</w:t>
      </w:r>
      <w:r w:rsidR="00496229">
        <w:rPr>
          <w:lang w:val="en-US"/>
        </w:rPr>
        <w:t>4</w:t>
      </w:r>
      <w:r w:rsidR="00BD08F8" w:rsidRPr="00BD08F8">
        <w:rPr>
          <w:lang w:val="en-US"/>
        </w:rPr>
        <w:t xml:space="preserve"> and expires </w:t>
      </w:r>
      <w:r w:rsidR="007B4E57">
        <w:rPr>
          <w:lang w:val="en-US"/>
        </w:rPr>
        <w:t>28 February</w:t>
      </w:r>
      <w:r w:rsidR="00BD08F8" w:rsidRPr="00BD08F8">
        <w:rPr>
          <w:lang w:val="en-US"/>
        </w:rPr>
        <w:t xml:space="preserve"> 202</w:t>
      </w:r>
      <w:r w:rsidR="00496229">
        <w:rPr>
          <w:lang w:val="en-US"/>
        </w:rPr>
        <w:t>6</w:t>
      </w:r>
      <w:r w:rsidR="00BD08F8" w:rsidRPr="00BD08F8">
        <w:rPr>
          <w:lang w:val="en-US"/>
        </w:rPr>
        <w:t>): authorisation</w:t>
      </w:r>
      <w:r w:rsidRPr="007F2AC1">
        <w:rPr>
          <w:lang w:val="en-US"/>
        </w:rPr>
        <w:tab/>
      </w:r>
      <w:r w:rsidR="002F05F7">
        <w:rPr>
          <w:lang w:val="en-US"/>
        </w:rPr>
        <w:t>21</w:t>
      </w:r>
    </w:p>
    <w:p w14:paraId="6B5883BC" w14:textId="044E7CE4" w:rsidR="007544E3" w:rsidRPr="00510FAB" w:rsidRDefault="007F2AC1" w:rsidP="007B4E57">
      <w:pPr>
        <w:pStyle w:val="TOC1"/>
        <w:rPr>
          <w:lang w:val="en-US"/>
        </w:rPr>
      </w:pPr>
      <w:r w:rsidRPr="007F2AC1">
        <w:rPr>
          <w:lang w:val="en-US"/>
        </w:rPr>
        <w:t>8. Version history</w:t>
      </w:r>
      <w:r w:rsidRPr="007F2AC1">
        <w:rPr>
          <w:lang w:val="en-US"/>
        </w:rPr>
        <w:tab/>
      </w:r>
      <w:r w:rsidR="002F05F7">
        <w:rPr>
          <w:lang w:val="en-US"/>
        </w:rPr>
        <w:t>23</w:t>
      </w:r>
      <w:r w:rsidR="001575F8">
        <w:fldChar w:fldCharType="begin"/>
      </w:r>
      <w:r w:rsidR="001575F8">
        <w:instrText xml:space="preserve"> TOC \o "1-1" \h \z \u </w:instrText>
      </w:r>
      <w:r w:rsidR="001575F8">
        <w:fldChar w:fldCharType="separate"/>
      </w:r>
    </w:p>
    <w:p w14:paraId="3DC2A288" w14:textId="77777777" w:rsidR="0066594B" w:rsidRDefault="001575F8" w:rsidP="00151D33">
      <w:pPr>
        <w:sectPr w:rsidR="0066594B" w:rsidSect="0039525D">
          <w:footerReference w:type="default" r:id="rId25"/>
          <w:footnotePr>
            <w:numFmt w:val="lowerRoman"/>
          </w:footnotePr>
          <w:endnotePr>
            <w:numFmt w:val="decimal"/>
          </w:endnotePr>
          <w:pgSz w:w="11906" w:h="16838"/>
          <w:pgMar w:top="1418" w:right="1418" w:bottom="1531" w:left="1418" w:header="680" w:footer="624" w:gutter="0"/>
          <w:cols w:space="708"/>
          <w:docGrid w:linePitch="360"/>
        </w:sectPr>
      </w:pPr>
      <w:r>
        <w:fldChar w:fldCharType="end"/>
      </w:r>
    </w:p>
    <w:p w14:paraId="6EE21026" w14:textId="77777777" w:rsidR="007639B5" w:rsidRPr="007639B5" w:rsidRDefault="007639B5" w:rsidP="00700FE4">
      <w:pPr>
        <w:pStyle w:val="NormalH1"/>
      </w:pPr>
      <w:bookmarkStart w:id="14" w:name="_Toc60298143"/>
      <w:bookmarkStart w:id="15" w:name="_Toc124848775"/>
      <w:bookmarkStart w:id="16" w:name="_Toc57039405"/>
      <w:bookmarkStart w:id="17" w:name="_Toc57039487"/>
      <w:bookmarkStart w:id="18" w:name="_Toc57103215"/>
      <w:bookmarkStart w:id="19" w:name="_Toc57105451"/>
      <w:bookmarkStart w:id="20" w:name="_Hlk125988460"/>
      <w:r w:rsidRPr="00907E64">
        <w:lastRenderedPageBreak/>
        <w:t>Authorisation</w:t>
      </w:r>
      <w:bookmarkEnd w:id="14"/>
      <w:bookmarkEnd w:id="15"/>
    </w:p>
    <w:p w14:paraId="71926C5A" w14:textId="1AFF4280" w:rsidR="00B12F67" w:rsidRPr="00700FE4" w:rsidRDefault="007639B5" w:rsidP="00700FE4">
      <w:pPr>
        <w:pStyle w:val="NormalH2"/>
        <w:rPr>
          <w:rStyle w:val="Bold"/>
          <w:rFonts w:cstheme="minorBidi"/>
          <w:b/>
          <w:color w:val="43358B"/>
        </w:rPr>
      </w:pPr>
      <w:r w:rsidRPr="00700FE4">
        <w:rPr>
          <w:rStyle w:val="Bold"/>
          <w:rFonts w:cstheme="minorBidi"/>
          <w:b/>
          <w:color w:val="43358B"/>
        </w:rPr>
        <w:t xml:space="preserve">PGD </w:t>
      </w:r>
      <w:bookmarkEnd w:id="16"/>
      <w:bookmarkEnd w:id="17"/>
      <w:bookmarkEnd w:id="18"/>
      <w:bookmarkEnd w:id="19"/>
      <w:r w:rsidR="00BD08F8" w:rsidRPr="00700FE4">
        <w:rPr>
          <w:rStyle w:val="Bold"/>
          <w:rFonts w:cstheme="minorBidi"/>
          <w:b/>
          <w:color w:val="43358B"/>
        </w:rPr>
        <w:t>measles, mumps and rubella (MMR) vaccine.</w:t>
      </w:r>
    </w:p>
    <w:p w14:paraId="19539DED" w14:textId="677C792A" w:rsidR="00713DB4" w:rsidRPr="00F22B32" w:rsidRDefault="00713DB4" w:rsidP="00713DB4">
      <w:r w:rsidRPr="00F22B32">
        <w:t xml:space="preserve">This specimen Patient Group Direction (PGD) template has been produced by Public Health Scotland to assist NHS </w:t>
      </w:r>
      <w:r w:rsidR="003A3BBB">
        <w:t>B</w:t>
      </w:r>
      <w:r w:rsidRPr="00F22B32">
        <w:t xml:space="preserve">oards. NHS </w:t>
      </w:r>
      <w:r w:rsidR="003A3BBB">
        <w:t>B</w:t>
      </w:r>
      <w:r w:rsidRPr="00F22B32">
        <w:t xml:space="preserve">oards should ensure that the final </w:t>
      </w:r>
      <w:r w:rsidR="00700FE4">
        <w:br/>
      </w:r>
      <w:r w:rsidRPr="00F22B32">
        <w:t>PGD is considered and approved in line with local clinical governance arrangements for PGDs.</w:t>
      </w:r>
    </w:p>
    <w:bookmarkEnd w:id="20"/>
    <w:p w14:paraId="2730F45D" w14:textId="23C46CB1" w:rsidR="00AC3137" w:rsidRDefault="00713DB4" w:rsidP="00F524B3">
      <w:r w:rsidRPr="00F22B32">
        <w:t xml:space="preserve">The qualified health professionals who may administer </w:t>
      </w:r>
      <w:r w:rsidR="00AC3137">
        <w:t xml:space="preserve">measles, mumps and rubella vaccine </w:t>
      </w:r>
      <w:r w:rsidRPr="00F22B32">
        <w:t>under this PGD can only do so as named individuals.</w:t>
      </w:r>
      <w:r w:rsidRPr="00F22B32">
        <w:rPr>
          <w:bCs/>
        </w:rPr>
        <w:t xml:space="preserve"> It is the responsibility of each professional to practice within the bounds of their own competence and in accordance with their own Code of Professional Conduct and to ensure </w:t>
      </w:r>
      <w:r w:rsidRPr="00F22B32">
        <w:t xml:space="preserve">familiarity with the </w:t>
      </w:r>
      <w:r w:rsidRPr="005069D0">
        <w:t>manufacturer’s product information/</w:t>
      </w:r>
      <w:r w:rsidR="00777478">
        <w:t>S</w:t>
      </w:r>
      <w:r w:rsidRPr="005069D0">
        <w:t xml:space="preserve">ummary of </w:t>
      </w:r>
      <w:r w:rsidR="00777478">
        <w:t>P</w:t>
      </w:r>
      <w:r w:rsidRPr="005069D0">
        <w:t xml:space="preserve">roduct </w:t>
      </w:r>
      <w:r w:rsidR="00777478">
        <w:t>C</w:t>
      </w:r>
      <w:r w:rsidRPr="005069D0">
        <w:t>haracteristics (S</w:t>
      </w:r>
      <w:r w:rsidR="003A3BBB">
        <w:t>m</w:t>
      </w:r>
      <w:r w:rsidRPr="005069D0">
        <w:t xml:space="preserve">PC) </w:t>
      </w:r>
      <w:r w:rsidRPr="00F22B32">
        <w:t>for all vaccines administered in accordance with this PGD.</w:t>
      </w:r>
      <w:r w:rsidR="00FC291A">
        <w:t xml:space="preserve"> </w:t>
      </w:r>
    </w:p>
    <w:p w14:paraId="37DE4FDC" w14:textId="06E20044" w:rsidR="001C0BC7" w:rsidRPr="00713DB4" w:rsidRDefault="00713DB4" w:rsidP="00F524B3">
      <w:pPr>
        <w:rPr>
          <w:rStyle w:val="Bold"/>
          <w:rFonts w:cstheme="minorBidi"/>
          <w:b w:val="0"/>
        </w:rPr>
      </w:pPr>
      <w:r w:rsidRPr="00F22B32">
        <w:t xml:space="preserve">NHS </w:t>
      </w:r>
      <w:r w:rsidR="003A3BBB">
        <w:t>B</w:t>
      </w:r>
      <w:r w:rsidRPr="00F22B32">
        <w:t>oard governance arrangements will indicate how records of staff authorised to operate this PGD will be maintained. Under PGD legislation there can be no delegation. Administration of the vaccine has to be by the same practitioner who has assessed the patient under the PGD.</w:t>
      </w:r>
    </w:p>
    <w:p w14:paraId="66AA7EB1" w14:textId="793F54AB" w:rsidR="008C552F" w:rsidRPr="007639B5" w:rsidRDefault="008C552F" w:rsidP="008C552F">
      <w:r w:rsidRPr="007639B5">
        <w:t>This PGD has been produced for NHS …………………………………</w:t>
      </w:r>
      <w:r>
        <w:t>.</w:t>
      </w:r>
      <w:r w:rsidR="00FC291A">
        <w:t xml:space="preserve"> </w:t>
      </w:r>
      <w:r w:rsidRPr="007639B5">
        <w:t>by:</w:t>
      </w:r>
    </w:p>
    <w:p w14:paraId="35CB28FD" w14:textId="77777777" w:rsidR="008C552F" w:rsidRPr="007639B5" w:rsidRDefault="008C552F" w:rsidP="008C552F">
      <w:r w:rsidRPr="007639B5">
        <w:t>Doctor</w:t>
      </w:r>
      <w:r>
        <w:t xml:space="preserve"> (Name / Signature)</w:t>
      </w:r>
      <w:r w:rsidRPr="007639B5">
        <w:t>.………………………………………………....</w:t>
      </w:r>
      <w:r>
        <w:t>...............</w:t>
      </w:r>
      <w:r w:rsidRPr="007639B5">
        <w:tab/>
      </w:r>
      <w:r>
        <w:br/>
      </w:r>
      <w:r w:rsidRPr="007639B5">
        <w:t>Pharmacist</w:t>
      </w:r>
      <w:r>
        <w:t xml:space="preserve"> (Name /Signature) </w:t>
      </w:r>
      <w:r w:rsidRPr="007639B5">
        <w:t>……………………………………………</w:t>
      </w:r>
      <w:r>
        <w:t>…………...</w:t>
      </w:r>
      <w:r w:rsidRPr="007639B5">
        <w:tab/>
      </w:r>
      <w:r>
        <w:br/>
      </w:r>
      <w:r w:rsidRPr="007639B5">
        <w:t xml:space="preserve">Nurse </w:t>
      </w:r>
      <w:r>
        <w:t xml:space="preserve">(Name / Signature) </w:t>
      </w:r>
      <w:r w:rsidRPr="007639B5">
        <w:t>……………………………………………………</w:t>
      </w:r>
      <w:r>
        <w:t>…………</w:t>
      </w:r>
      <w:r w:rsidRPr="007639B5">
        <w:tab/>
      </w:r>
    </w:p>
    <w:p w14:paraId="4DF03FD6" w14:textId="77777777" w:rsidR="008C552F" w:rsidRPr="007639B5" w:rsidRDefault="008C552F" w:rsidP="008C552F">
      <w:r w:rsidRPr="007639B5">
        <w:t>Approved on behalf of NHS………………………………………………</w:t>
      </w:r>
      <w:r>
        <w:t xml:space="preserve"> </w:t>
      </w:r>
      <w:r w:rsidRPr="007639B5">
        <w:t>by:</w:t>
      </w:r>
    </w:p>
    <w:p w14:paraId="14CDCAFD" w14:textId="77777777" w:rsidR="008C552F" w:rsidRDefault="008C552F" w:rsidP="008C552F">
      <w:r w:rsidRPr="007639B5">
        <w:t xml:space="preserve">Medical Director </w:t>
      </w:r>
      <w:r>
        <w:t xml:space="preserve">(Name / Signature) </w:t>
      </w:r>
      <w:r w:rsidRPr="007639B5">
        <w:t>………………………………………</w:t>
      </w:r>
      <w:r>
        <w:t>…………..</w:t>
      </w:r>
      <w:r>
        <w:tab/>
      </w:r>
      <w:r>
        <w:br/>
      </w:r>
      <w:r w:rsidRPr="007639B5">
        <w:t xml:space="preserve">Director of Pharmacy/Senior Pharmacist </w:t>
      </w:r>
      <w:r>
        <w:t xml:space="preserve">(Name / Signature) </w:t>
      </w:r>
      <w:r w:rsidRPr="007639B5">
        <w:t>……………………</w:t>
      </w:r>
      <w:r>
        <w:t>….</w:t>
      </w:r>
      <w:r>
        <w:br/>
      </w:r>
      <w:r w:rsidRPr="007639B5">
        <w:t>Clinical Governance Lead</w:t>
      </w:r>
      <w:r>
        <w:t xml:space="preserve"> (Name / Signature)</w:t>
      </w:r>
      <w:r w:rsidRPr="007639B5">
        <w:t xml:space="preserve"> …………………………</w:t>
      </w:r>
      <w:r>
        <w:t>……………</w:t>
      </w:r>
      <w:r>
        <w:br/>
      </w:r>
      <w:r w:rsidRPr="007639B5">
        <w:t xml:space="preserve">Date approved: </w:t>
      </w:r>
      <w:r>
        <w:t>………………………………</w:t>
      </w:r>
    </w:p>
    <w:p w14:paraId="7E50DCC9" w14:textId="1AD9FF1F" w:rsidR="00ED25DF" w:rsidRPr="007639B5" w:rsidRDefault="00ED25DF" w:rsidP="00ED25DF">
      <w:bookmarkStart w:id="21" w:name="_Toc60298144"/>
      <w:bookmarkStart w:id="22" w:name="_Toc124848776"/>
      <w:r w:rsidRPr="007639B5">
        <w:t xml:space="preserve">Effective from: </w:t>
      </w:r>
      <w:r>
        <w:t xml:space="preserve">1 </w:t>
      </w:r>
      <w:r w:rsidR="007B4E57">
        <w:t>March</w:t>
      </w:r>
      <w:r>
        <w:t xml:space="preserve"> 202</w:t>
      </w:r>
      <w:r w:rsidR="00F76E80">
        <w:t>4</w:t>
      </w:r>
      <w:r w:rsidRPr="007639B5">
        <w:tab/>
      </w:r>
      <w:r w:rsidRPr="007639B5">
        <w:tab/>
      </w:r>
      <w:r w:rsidRPr="007639B5">
        <w:tab/>
        <w:t xml:space="preserve">Review date: </w:t>
      </w:r>
      <w:r w:rsidR="007B4E57">
        <w:t>28 February</w:t>
      </w:r>
      <w:r>
        <w:t xml:space="preserve"> 202</w:t>
      </w:r>
      <w:r w:rsidR="00FF3555">
        <w:t>6</w:t>
      </w:r>
    </w:p>
    <w:p w14:paraId="79E6E61B" w14:textId="77777777" w:rsidR="007639B5" w:rsidRDefault="007F2AC1" w:rsidP="00817A4C">
      <w:pPr>
        <w:pStyle w:val="NormalH1"/>
      </w:pPr>
      <w:r w:rsidRPr="007F2AC1">
        <w:rPr>
          <w:bCs/>
        </w:rPr>
        <w:lastRenderedPageBreak/>
        <w:t>1.</w:t>
      </w:r>
      <w:r>
        <w:t xml:space="preserve"> </w:t>
      </w:r>
      <w:r w:rsidR="007639B5" w:rsidRPr="007639B5">
        <w:t>Clinical situation</w:t>
      </w:r>
      <w:bookmarkEnd w:id="21"/>
      <w:bookmarkEnd w:id="22"/>
    </w:p>
    <w:p w14:paraId="2A16A2C7" w14:textId="53B1E347" w:rsidR="007639B5" w:rsidRDefault="007F2AC1" w:rsidP="007F2AC1">
      <w:pPr>
        <w:pStyle w:val="NormalH2"/>
      </w:pPr>
      <w:r>
        <w:t xml:space="preserve">1.1. </w:t>
      </w:r>
      <w:r w:rsidR="007639B5" w:rsidRPr="001E376F">
        <w:t>Indication</w:t>
      </w:r>
    </w:p>
    <w:p w14:paraId="6A6906D6" w14:textId="00E8DB36" w:rsidR="00704B80" w:rsidRDefault="00704B80" w:rsidP="00704B80">
      <w:r w:rsidRPr="00831ABB">
        <w:t>Immunisation</w:t>
      </w:r>
      <w:r w:rsidRPr="00092F8E">
        <w:t xml:space="preserve"> against measles, mumps and/or rubella</w:t>
      </w:r>
      <w:r>
        <w:t xml:space="preserve"> disease.</w:t>
      </w:r>
    </w:p>
    <w:p w14:paraId="416F87A1" w14:textId="002E45CB" w:rsidR="007F2C05" w:rsidRDefault="007F2AC1" w:rsidP="007F2AC1">
      <w:pPr>
        <w:pStyle w:val="NormalH2"/>
      </w:pPr>
      <w:r>
        <w:t xml:space="preserve">1.2. </w:t>
      </w:r>
      <w:r w:rsidR="007639B5" w:rsidRPr="007639B5">
        <w:t>Inclusion criteria</w:t>
      </w:r>
    </w:p>
    <w:p w14:paraId="1D47F97F" w14:textId="77777777" w:rsidR="0038168A" w:rsidRDefault="0038168A" w:rsidP="0038168A">
      <w:pPr>
        <w:pStyle w:val="Bullet1"/>
      </w:pPr>
      <w:r w:rsidRPr="009D0211">
        <w:t xml:space="preserve">Individuals from </w:t>
      </w:r>
      <w:r>
        <w:t xml:space="preserve">one year of age </w:t>
      </w:r>
      <w:r w:rsidRPr="00092F8E">
        <w:t>(on or after their first birthday) or older</w:t>
      </w:r>
      <w:r w:rsidRPr="009D0211">
        <w:t xml:space="preserve"> </w:t>
      </w:r>
      <w:r>
        <w:t>as part of the Scottish</w:t>
      </w:r>
      <w:r w:rsidRPr="007A3EB5">
        <w:t xml:space="preserve"> childhood immunisation programme. </w:t>
      </w:r>
    </w:p>
    <w:p w14:paraId="6D3B3C60" w14:textId="77777777" w:rsidR="0038168A" w:rsidRDefault="0038168A" w:rsidP="0038168A">
      <w:pPr>
        <w:pStyle w:val="Bullet1"/>
      </w:pPr>
      <w:r>
        <w:t>Individuals</w:t>
      </w:r>
      <w:r w:rsidRPr="005729FE">
        <w:t xml:space="preserve"> with uncertain or incomplete </w:t>
      </w:r>
      <w:r>
        <w:t xml:space="preserve">immunisation status in </w:t>
      </w:r>
      <w:r w:rsidRPr="005729FE">
        <w:t xml:space="preserve">accordance with the </w:t>
      </w:r>
      <w:hyperlink r:id="rId26" w:history="1">
        <w:r w:rsidRPr="005729FE">
          <w:rPr>
            <w:rStyle w:val="Hyperlink"/>
          </w:rPr>
          <w:t>vaccination of individuals with uncertain or incomplete immunisation status</w:t>
        </w:r>
      </w:hyperlink>
      <w:r w:rsidRPr="005729FE">
        <w:t xml:space="preserve"> flow chart</w:t>
      </w:r>
      <w:r>
        <w:t>.</w:t>
      </w:r>
    </w:p>
    <w:p w14:paraId="14881468" w14:textId="77777777" w:rsidR="0038168A" w:rsidRPr="00092F8E" w:rsidRDefault="0038168A" w:rsidP="0038168A">
      <w:pPr>
        <w:pStyle w:val="Bullet1"/>
      </w:pPr>
      <w:r>
        <w:t>Individuals</w:t>
      </w:r>
      <w:r w:rsidRPr="00092F8E">
        <w:t xml:space="preserve"> between 6 months and 1 year of age and early protection is considered necessary, such as due to travel or outbreak</w:t>
      </w:r>
      <w:r>
        <w:t>.</w:t>
      </w:r>
    </w:p>
    <w:p w14:paraId="4383920D" w14:textId="77777777" w:rsidR="0038168A" w:rsidRDefault="0038168A" w:rsidP="0038168A">
      <w:pPr>
        <w:pStyle w:val="Bullet1"/>
      </w:pPr>
      <w:r>
        <w:t>Individuals</w:t>
      </w:r>
      <w:r w:rsidRPr="00092F8E">
        <w:t xml:space="preserve"> aged 6 months and over and vaccination is indicated for measles post-exposure prophylaxis </w:t>
      </w:r>
      <w:r w:rsidRPr="00552E34">
        <w:t>in accordance with</w:t>
      </w:r>
      <w:r>
        <w:t xml:space="preserve"> local</w:t>
      </w:r>
      <w:r w:rsidRPr="00552E34">
        <w:t xml:space="preserve"> public health </w:t>
      </w:r>
      <w:r>
        <w:t>team advice.</w:t>
      </w:r>
    </w:p>
    <w:p w14:paraId="0A381F71" w14:textId="7076DDD5" w:rsidR="00704B80" w:rsidRDefault="0038168A" w:rsidP="0038168A">
      <w:r>
        <w:t>V</w:t>
      </w:r>
      <w:r w:rsidRPr="00092F8E">
        <w:t>alid consent has be</w:t>
      </w:r>
      <w:r>
        <w:t>en given to receive the vaccine.</w:t>
      </w:r>
    </w:p>
    <w:p w14:paraId="6EB3156F" w14:textId="11CA2F68" w:rsidR="007639B5" w:rsidRDefault="007F2AC1" w:rsidP="007F2AC1">
      <w:pPr>
        <w:pStyle w:val="NormalH2"/>
      </w:pPr>
      <w:r>
        <w:t xml:space="preserve">1.3. </w:t>
      </w:r>
      <w:r w:rsidR="007639B5" w:rsidRPr="007639B5">
        <w:t>Exclusion criteria</w:t>
      </w:r>
    </w:p>
    <w:p w14:paraId="433710AC" w14:textId="77777777" w:rsidR="003D0792" w:rsidRDefault="003D0792" w:rsidP="003D0792">
      <w:r w:rsidRPr="00412EC2">
        <w:t>Individuals who:</w:t>
      </w:r>
    </w:p>
    <w:p w14:paraId="32876FE0" w14:textId="640172EB" w:rsidR="003D0792" w:rsidRDefault="003D0792" w:rsidP="003D0792">
      <w:pPr>
        <w:pStyle w:val="Bullet1"/>
      </w:pPr>
      <w:r w:rsidRPr="00092F8E">
        <w:t xml:space="preserve">have had a confirmed anaphylactic reaction to a previous dose of any measles, mumps or rubella containing vaccine or to any components of the vaccine, these may include neomycin or </w:t>
      </w:r>
      <w:proofErr w:type="spellStart"/>
      <w:r w:rsidRPr="00092F8E">
        <w:t>gelatin</w:t>
      </w:r>
      <w:proofErr w:type="spellEnd"/>
      <w:r w:rsidRPr="00092F8E">
        <w:t xml:space="preserve"> (refer to relevant S</w:t>
      </w:r>
      <w:r>
        <w:t>m</w:t>
      </w:r>
      <w:r w:rsidRPr="00092F8E">
        <w:t>PC)</w:t>
      </w:r>
      <w:r>
        <w:t>.</w:t>
      </w:r>
    </w:p>
    <w:p w14:paraId="38DA43D2" w14:textId="77777777" w:rsidR="008F6F7B" w:rsidRPr="00092F8E" w:rsidRDefault="008F6F7B" w:rsidP="008F6F7B">
      <w:pPr>
        <w:pStyle w:val="Bullet1"/>
      </w:pPr>
      <w:r>
        <w:t>have a h</w:t>
      </w:r>
      <w:r w:rsidRPr="003A33F3">
        <w:t>istory of severe (i.e. anaphylactic reaction) to latex where the vaccine is not latex</w:t>
      </w:r>
      <w:r>
        <w:t>-</w:t>
      </w:r>
      <w:r w:rsidRPr="003A33F3">
        <w:t>free.</w:t>
      </w:r>
    </w:p>
    <w:p w14:paraId="28689499" w14:textId="77777777" w:rsidR="008F6F7B" w:rsidRPr="00092F8E" w:rsidRDefault="008F6F7B" w:rsidP="008F6F7B">
      <w:pPr>
        <w:pStyle w:val="Bullet1"/>
      </w:pPr>
      <w:r w:rsidRPr="00092F8E">
        <w:t>are known to be pregnant</w:t>
      </w:r>
      <w:r>
        <w:t>.</w:t>
      </w:r>
    </w:p>
    <w:p w14:paraId="4F198C18" w14:textId="77777777" w:rsidR="008F6F7B" w:rsidRPr="00092F8E" w:rsidRDefault="008F6F7B" w:rsidP="008F6F7B">
      <w:pPr>
        <w:pStyle w:val="Bullet1"/>
      </w:pPr>
      <w:r w:rsidRPr="00092F8E">
        <w:lastRenderedPageBreak/>
        <w:t xml:space="preserve">have a primary or acquired immunodeficiency state (see the ‘Green Book’ </w:t>
      </w:r>
      <w:hyperlink r:id="rId27" w:history="1">
        <w:r w:rsidRPr="007C63B5">
          <w:rPr>
            <w:rStyle w:val="Hyperlink"/>
          </w:rPr>
          <w:t>Chapter 6</w:t>
        </w:r>
      </w:hyperlink>
      <w:r w:rsidRPr="00092F8E">
        <w:t xml:space="preserve"> for more detail)</w:t>
      </w:r>
      <w:r>
        <w:t>.</w:t>
      </w:r>
    </w:p>
    <w:p w14:paraId="22205EBF" w14:textId="77777777" w:rsidR="008F6F7B" w:rsidRPr="00092F8E" w:rsidRDefault="008F6F7B" w:rsidP="008F6F7B">
      <w:pPr>
        <w:pStyle w:val="Bullet1"/>
      </w:pPr>
      <w:r w:rsidRPr="00092F8E">
        <w:t xml:space="preserve">are on current or recent high dose immunosuppressive or biological therapy (see the ‘Green Book’ </w:t>
      </w:r>
      <w:hyperlink r:id="rId28" w:history="1">
        <w:r w:rsidRPr="007C63B5">
          <w:rPr>
            <w:rStyle w:val="Hyperlink"/>
          </w:rPr>
          <w:t>Chapter 6</w:t>
        </w:r>
      </w:hyperlink>
      <w:r w:rsidRPr="00092F8E">
        <w:t xml:space="preserve"> for more detail)</w:t>
      </w:r>
      <w:r>
        <w:t>.</w:t>
      </w:r>
    </w:p>
    <w:p w14:paraId="4EDF79B0" w14:textId="09EC0248" w:rsidR="008F6F7B" w:rsidRPr="00092F8E" w:rsidRDefault="008F6F7B" w:rsidP="008F6F7B">
      <w:pPr>
        <w:pStyle w:val="Bullet1"/>
      </w:pPr>
      <w:r w:rsidRPr="00092F8E">
        <w:t>have received varicella</w:t>
      </w:r>
      <w:bookmarkStart w:id="23" w:name="_Hlk158200916"/>
      <w:r w:rsidR="002371BE">
        <w:t xml:space="preserve">, </w:t>
      </w:r>
      <w:r w:rsidR="003A5828">
        <w:t>Zostavax</w:t>
      </w:r>
      <w:r w:rsidR="00117879" w:rsidRPr="00117879">
        <w:rPr>
          <w:rFonts w:cs="Arial"/>
          <w:vertAlign w:val="superscript"/>
        </w:rPr>
        <w:t>®</w:t>
      </w:r>
      <w:r w:rsidR="003A5828">
        <w:t xml:space="preserve"> (live shingles vaccine)</w:t>
      </w:r>
      <w:r w:rsidRPr="00092F8E">
        <w:t xml:space="preserve"> </w:t>
      </w:r>
      <w:bookmarkEnd w:id="23"/>
      <w:r w:rsidRPr="00092F8E">
        <w:t>or yellow fever vaccine in the preceding 4 weeks, unless protection against measles is require</w:t>
      </w:r>
      <w:r>
        <w:t xml:space="preserve">d rapidly (see the Green Book </w:t>
      </w:r>
      <w:hyperlink r:id="rId29">
        <w:r w:rsidR="3847AD65" w:rsidRPr="2DBE2D1D">
          <w:rPr>
            <w:rStyle w:val="Hyperlink"/>
          </w:rPr>
          <w:t>Chapter 21 Table 21.1</w:t>
        </w:r>
      </w:hyperlink>
      <w:r w:rsidRPr="00092F8E">
        <w:t>)</w:t>
      </w:r>
      <w:r>
        <w:t>.</w:t>
      </w:r>
    </w:p>
    <w:p w14:paraId="6E4C2688" w14:textId="77777777" w:rsidR="008F6F7B" w:rsidRPr="00092F8E" w:rsidRDefault="008F6F7B" w:rsidP="008F6F7B">
      <w:pPr>
        <w:pStyle w:val="Bullet1"/>
      </w:pPr>
      <w:r w:rsidRPr="00092F8E">
        <w:t>have received blood products, such as immunoglobulins, in the preceding 3 months, unless protection against measles is require</w:t>
      </w:r>
      <w:r>
        <w:t xml:space="preserve">d rapidly (see the Green Book, </w:t>
      </w:r>
      <w:hyperlink r:id="rId30" w:history="1">
        <w:r w:rsidRPr="00742B7B">
          <w:rPr>
            <w:rStyle w:val="Hyperlink"/>
          </w:rPr>
          <w:t>Chapter 21</w:t>
        </w:r>
      </w:hyperlink>
      <w:r w:rsidRPr="00092F8E">
        <w:t>)</w:t>
      </w:r>
      <w:r>
        <w:t>.</w:t>
      </w:r>
    </w:p>
    <w:p w14:paraId="7A6F2830" w14:textId="77777777" w:rsidR="008F6F7B" w:rsidRPr="00092F8E" w:rsidRDefault="008F6F7B" w:rsidP="008F6F7B">
      <w:pPr>
        <w:pStyle w:val="Bullet1"/>
      </w:pPr>
      <w:r w:rsidRPr="00092F8E">
        <w:t>are awaiting reading of a tuberculin (Mantoux) skin test, unless protection against</w:t>
      </w:r>
      <w:r>
        <w:t xml:space="preserve"> measles is required rapidly (see ‘Green Book’ </w:t>
      </w:r>
      <w:hyperlink r:id="rId31" w:history="1">
        <w:r w:rsidRPr="00F636D8">
          <w:rPr>
            <w:rStyle w:val="Hyperlink"/>
          </w:rPr>
          <w:t>Chapter 21 Table 21.1</w:t>
        </w:r>
      </w:hyperlink>
      <w:r w:rsidRPr="00092F8E">
        <w:t>)</w:t>
      </w:r>
      <w:r>
        <w:t>.</w:t>
      </w:r>
    </w:p>
    <w:p w14:paraId="1489603B" w14:textId="75231F01" w:rsidR="003D0792" w:rsidRDefault="008F6F7B" w:rsidP="007F2AC1">
      <w:pPr>
        <w:pStyle w:val="Bullet1"/>
      </w:pPr>
      <w:r w:rsidRPr="00092F8E">
        <w:t>are suffering from acute severe febrile illness (the presence of a minor infection is not a contraindication for immunisation)</w:t>
      </w:r>
      <w:r>
        <w:t>.</w:t>
      </w:r>
    </w:p>
    <w:p w14:paraId="674A3D61" w14:textId="79732CFF" w:rsidR="000E598D" w:rsidRDefault="007F2AC1" w:rsidP="007F2AC1">
      <w:pPr>
        <w:pStyle w:val="NormalH2"/>
      </w:pPr>
      <w:r>
        <w:t xml:space="preserve">1.4. </w:t>
      </w:r>
      <w:r w:rsidR="007639B5" w:rsidRPr="007639B5">
        <w:t xml:space="preserve">Cautions/need for further advice/ circumstances when </w:t>
      </w:r>
      <w:r w:rsidR="009D3EC8">
        <w:t>further advice should be sought from a doctor</w:t>
      </w:r>
    </w:p>
    <w:p w14:paraId="246B9510" w14:textId="77777777" w:rsidR="003B0B39" w:rsidRPr="0050570D" w:rsidRDefault="003B0B39" w:rsidP="003B0B39">
      <w:r>
        <w:t>T</w:t>
      </w:r>
      <w:r w:rsidRPr="00E44143">
        <w:t xml:space="preserve">he Green Book advises </w:t>
      </w:r>
      <w:r>
        <w:t>t</w:t>
      </w:r>
      <w:r w:rsidRPr="0050570D">
        <w:t>here are very few individuals who cannot receive MMR vaccine. When there is doubt,</w:t>
      </w:r>
      <w:r>
        <w:t xml:space="preserve"> </w:t>
      </w:r>
      <w:r w:rsidRPr="0050570D">
        <w:t xml:space="preserve">appropriate advice should be sought from </w:t>
      </w:r>
      <w:r w:rsidRPr="00445832">
        <w:t>the relevant specialist, or from the local immunisation or health protection team.</w:t>
      </w:r>
    </w:p>
    <w:p w14:paraId="4E424274" w14:textId="50797A1C" w:rsidR="003B0B39" w:rsidRDefault="003B0B39" w:rsidP="003B0B39">
      <w:r>
        <w:t>If idiopathic thrombocytopenic purpura (ITP) has occurred within six weeks of the first dose of MMR, then blood should be taken and tested for measles, mumps and rubella antibodies before a second dose is given.</w:t>
      </w:r>
      <w:r w:rsidR="00FC291A">
        <w:t xml:space="preserve"> </w:t>
      </w:r>
      <w:r>
        <w:t>If the results suggest incomplete immunity against measles, mumps or rubella, then a second dose of MMR is recommended. Seek specialist advice.</w:t>
      </w:r>
    </w:p>
    <w:p w14:paraId="5EFC4C75" w14:textId="5DE67A56" w:rsidR="003B0B39" w:rsidRPr="00831ABB" w:rsidRDefault="003B0B39" w:rsidP="003B0B39">
      <w:r w:rsidRPr="0050570D">
        <w:t xml:space="preserve">MMR </w:t>
      </w:r>
      <w:r w:rsidRPr="00831ABB">
        <w:t>vaccine</w:t>
      </w:r>
      <w:r w:rsidRPr="0050570D">
        <w:t xml:space="preserve"> is not recom</w:t>
      </w:r>
      <w:r>
        <w:t xml:space="preserve">mended for patients with severe </w:t>
      </w:r>
      <w:r w:rsidRPr="0050570D">
        <w:t>immunosuppression (see</w:t>
      </w:r>
      <w:r>
        <w:t xml:space="preserve"> Green Book </w:t>
      </w:r>
      <w:hyperlink r:id="rId32" w:history="1">
        <w:r w:rsidRPr="005B7B7C">
          <w:rPr>
            <w:rStyle w:val="Hyperlink"/>
          </w:rPr>
          <w:t>Chapter 6</w:t>
        </w:r>
      </w:hyperlink>
      <w:r>
        <w:t xml:space="preserve">). </w:t>
      </w:r>
      <w:r w:rsidRPr="0050570D">
        <w:t>MMR vaccine can be giv</w:t>
      </w:r>
      <w:r>
        <w:t xml:space="preserve">en to people living with HIV who </w:t>
      </w:r>
      <w:r w:rsidRPr="0050570D">
        <w:lastRenderedPageBreak/>
        <w:t>are not immunosuppressed or those with moderate i</w:t>
      </w:r>
      <w:r>
        <w:t>mmunosuppression (as defined in</w:t>
      </w:r>
      <w:r w:rsidR="00FC291A">
        <w:t xml:space="preserve"> </w:t>
      </w:r>
      <w:r w:rsidRPr="00AC614A">
        <w:t xml:space="preserve">Green Book </w:t>
      </w:r>
      <w:hyperlink r:id="rId33" w:history="1">
        <w:r w:rsidRPr="00D54192">
          <w:rPr>
            <w:rStyle w:val="Hyperlink"/>
          </w:rPr>
          <w:t>Chapter 21, Table 21.2</w:t>
        </w:r>
      </w:hyperlink>
      <w:r w:rsidRPr="0050570D">
        <w:t>).</w:t>
      </w:r>
    </w:p>
    <w:p w14:paraId="100E0910" w14:textId="77777777" w:rsidR="003B0B39" w:rsidRDefault="003B0B39" w:rsidP="003B0B39">
      <w:r>
        <w:t>The presence of a neurological condition is not a contraindication to immunisation but if there is evidence of current neurological deterioration, deferral of vaccination may be considered, to avoid incorrect attribution of any change in the underlying condition. The risk of such deferral should be balanced against the risk of the preventable infection, and vaccination should be promptly given once the diagnosis and/or the expected course of the condition become clear. If there is a risk of exposure, however, it may be more appropriate to counsel the patient about the benefits of protection rather than deferring. Children with a personal or close family history of seizures should be given MMR vaccine.</w:t>
      </w:r>
    </w:p>
    <w:p w14:paraId="3A72B0E2" w14:textId="77777777" w:rsidR="00AB4153" w:rsidRPr="00D54E9F" w:rsidRDefault="00AB4153" w:rsidP="00D54E9F">
      <w:pPr>
        <w:pStyle w:val="NormalH3"/>
        <w:rPr>
          <w:rStyle w:val="Bold"/>
          <w:rFonts w:cstheme="minorBidi"/>
          <w:b/>
        </w:rPr>
      </w:pPr>
      <w:r w:rsidRPr="00D54E9F">
        <w:rPr>
          <w:rStyle w:val="Bold"/>
          <w:rFonts w:cstheme="minorBidi"/>
          <w:b/>
        </w:rPr>
        <w:t>Co-administration with other vaccines</w:t>
      </w:r>
    </w:p>
    <w:p w14:paraId="684A2A34" w14:textId="77777777" w:rsidR="00F97361" w:rsidRDefault="00F97361" w:rsidP="00F97361">
      <w:pPr>
        <w:rPr>
          <w:rFonts w:eastAsia="Frutiger-Light" w:cs="Arial"/>
        </w:rPr>
      </w:pPr>
      <w:r w:rsidRPr="000B6A98">
        <w:rPr>
          <w:rFonts w:eastAsia="Frutiger-Light" w:cs="Arial"/>
        </w:rPr>
        <w:t>MMR vaccine can be given at the same time as other v</w:t>
      </w:r>
      <w:r>
        <w:rPr>
          <w:rFonts w:eastAsia="Frutiger-Light" w:cs="Arial"/>
        </w:rPr>
        <w:t>accines such as DTaP/ IPV, Hib/</w:t>
      </w:r>
      <w:proofErr w:type="spellStart"/>
      <w:r w:rsidRPr="000B6A98">
        <w:rPr>
          <w:rFonts w:eastAsia="Frutiger-Light" w:cs="Arial"/>
        </w:rPr>
        <w:t>MenC</w:t>
      </w:r>
      <w:proofErr w:type="spellEnd"/>
      <w:r w:rsidRPr="000B6A98">
        <w:rPr>
          <w:rFonts w:eastAsia="Frutiger-Light" w:cs="Arial"/>
        </w:rPr>
        <w:t xml:space="preserve">, PCV, hepatitis B and Men B. If </w:t>
      </w:r>
      <w:r>
        <w:rPr>
          <w:rFonts w:eastAsia="Frutiger-Light" w:cs="Arial"/>
        </w:rPr>
        <w:t xml:space="preserve">the </w:t>
      </w:r>
      <w:r w:rsidRPr="000B6A98">
        <w:rPr>
          <w:rFonts w:eastAsia="Frutiger-Light" w:cs="Arial"/>
        </w:rPr>
        <w:t xml:space="preserve">MMR </w:t>
      </w:r>
      <w:r>
        <w:rPr>
          <w:rFonts w:eastAsia="Frutiger-Light" w:cs="Arial"/>
        </w:rPr>
        <w:t xml:space="preserve">vaccine </w:t>
      </w:r>
      <w:r w:rsidRPr="000B6A98">
        <w:rPr>
          <w:rFonts w:eastAsia="Frutiger-Light" w:cs="Arial"/>
        </w:rPr>
        <w:t xml:space="preserve">cannot </w:t>
      </w:r>
      <w:r>
        <w:rPr>
          <w:rFonts w:eastAsia="Frutiger-Light" w:cs="Arial"/>
        </w:rPr>
        <w:t xml:space="preserve">be given at the same time as an </w:t>
      </w:r>
      <w:r w:rsidRPr="0044410D">
        <w:rPr>
          <w:rFonts w:eastAsia="Frutiger-Light" w:cs="Arial"/>
          <w:b/>
        </w:rPr>
        <w:t>inactivated</w:t>
      </w:r>
      <w:r w:rsidRPr="000B6A98">
        <w:rPr>
          <w:rFonts w:eastAsia="Frutiger-Light" w:cs="Arial"/>
        </w:rPr>
        <w:t xml:space="preserve"> vaccine, it can be given at any interval before or </w:t>
      </w:r>
      <w:r>
        <w:rPr>
          <w:rFonts w:eastAsia="Frutiger-Light" w:cs="Arial"/>
        </w:rPr>
        <w:t xml:space="preserve">after. Vaccines administered at </w:t>
      </w:r>
      <w:r w:rsidRPr="000B6A98">
        <w:rPr>
          <w:rFonts w:eastAsia="Frutiger-Light" w:cs="Arial"/>
        </w:rPr>
        <w:t>the same time should preferably be given in a separate limb, but if this is not po</w:t>
      </w:r>
      <w:r>
        <w:rPr>
          <w:rFonts w:eastAsia="Frutiger-Light" w:cs="Arial"/>
        </w:rPr>
        <w:t xml:space="preserve">ssible they </w:t>
      </w:r>
      <w:r w:rsidRPr="000B6A98">
        <w:rPr>
          <w:rFonts w:eastAsia="Frutiger-Light" w:cs="Arial"/>
        </w:rPr>
        <w:t>should</w:t>
      </w:r>
      <w:r>
        <w:rPr>
          <w:rFonts w:eastAsia="Frutiger-Light" w:cs="Arial"/>
        </w:rPr>
        <w:t xml:space="preserve"> be given at least 2.5cm apart. The site at </w:t>
      </w:r>
      <w:r w:rsidRPr="000B6A98">
        <w:rPr>
          <w:rFonts w:eastAsia="Frutiger-Light" w:cs="Arial"/>
        </w:rPr>
        <w:t>which each vaccine is given should be noted in the child’</w:t>
      </w:r>
      <w:r>
        <w:rPr>
          <w:rFonts w:eastAsia="Frutiger-Light" w:cs="Arial"/>
        </w:rPr>
        <w:t>s record.</w:t>
      </w:r>
    </w:p>
    <w:p w14:paraId="4CBD3831" w14:textId="527206F4" w:rsidR="004F0587" w:rsidRPr="005B3045" w:rsidRDefault="00F97361" w:rsidP="00F97361">
      <w:pPr>
        <w:pStyle w:val="NormalH3"/>
        <w:rPr>
          <w:rFonts w:eastAsia="Frutiger-Light"/>
          <w:sz w:val="24"/>
        </w:rPr>
      </w:pPr>
      <w:r w:rsidRPr="2DBE2D1D">
        <w:rPr>
          <w:rFonts w:eastAsia="Frutiger-Light" w:cs="Arial"/>
          <w:b w:val="0"/>
          <w:sz w:val="24"/>
          <w:szCs w:val="24"/>
        </w:rPr>
        <w:t xml:space="preserve">Advice on intervals between live vaccines is based upon specific evidence of interference between vaccines. The current advice for MMR is detailed in Green Book, </w:t>
      </w:r>
      <w:hyperlink r:id="rId34" w:history="1">
        <w:r w:rsidRPr="2DBE2D1D">
          <w:rPr>
            <w:rFonts w:eastAsia="Frutiger-Light" w:cs="Arial"/>
            <w:sz w:val="24"/>
            <w:szCs w:val="24"/>
          </w:rPr>
          <w:t>Chapter 21 Table 21.1</w:t>
        </w:r>
      </w:hyperlink>
      <w:r w:rsidRPr="2DBE2D1D">
        <w:rPr>
          <w:rFonts w:eastAsia="Frutiger-Light" w:cs="Arial"/>
          <w:sz w:val="24"/>
          <w:szCs w:val="24"/>
        </w:rPr>
        <w:t>.</w:t>
      </w:r>
    </w:p>
    <w:p w14:paraId="13A53E0B" w14:textId="77777777" w:rsidR="00376388" w:rsidRPr="00D54E9F" w:rsidRDefault="00376388" w:rsidP="00D54E9F">
      <w:pPr>
        <w:pStyle w:val="NormalH3"/>
        <w:rPr>
          <w:rStyle w:val="Bold"/>
          <w:rFonts w:cstheme="minorBidi"/>
          <w:b/>
        </w:rPr>
      </w:pPr>
      <w:r w:rsidRPr="00D54E9F">
        <w:rPr>
          <w:rStyle w:val="Bold"/>
          <w:rFonts w:cstheme="minorBidi"/>
          <w:b/>
        </w:rPr>
        <w:t>Syncope</w:t>
      </w:r>
    </w:p>
    <w:p w14:paraId="11A7C65B" w14:textId="536E4B69" w:rsidR="00AF2A8C" w:rsidRPr="00AF2A8C" w:rsidRDefault="00AF2A8C" w:rsidP="00376388">
      <w:pPr>
        <w:pStyle w:val="NormalH3"/>
        <w:rPr>
          <w:b w:val="0"/>
          <w:bCs/>
          <w:sz w:val="24"/>
        </w:rPr>
      </w:pPr>
      <w:r w:rsidRPr="00AF2A8C">
        <w:rPr>
          <w:b w:val="0"/>
          <w:bCs/>
          <w:sz w:val="24"/>
        </w:rPr>
        <w:t>Syncope (fainting) can occur following, or even before, any vaccination especially in adolescents as a psychogenic response to the needle injection. This can be accompanied by several neurological signs such as transient visual disturbance, paraesthesia and tonic-</w:t>
      </w:r>
      <w:proofErr w:type="spellStart"/>
      <w:r w:rsidRPr="00AF2A8C">
        <w:rPr>
          <w:b w:val="0"/>
          <w:bCs/>
          <w:sz w:val="24"/>
        </w:rPr>
        <w:t>clonic</w:t>
      </w:r>
      <w:proofErr w:type="spellEnd"/>
      <w:r w:rsidRPr="00AF2A8C">
        <w:rPr>
          <w:b w:val="0"/>
          <w:bCs/>
          <w:sz w:val="24"/>
        </w:rPr>
        <w:t xml:space="preserve"> limb movements during recovery. It is important that procedures are in place to avoid injury from faints.</w:t>
      </w:r>
    </w:p>
    <w:p w14:paraId="1AB94FC6" w14:textId="77777777" w:rsidR="00AF2A8C" w:rsidRPr="00D54E9F" w:rsidRDefault="00AF2A8C" w:rsidP="00D54E9F">
      <w:pPr>
        <w:pStyle w:val="NormalH3"/>
        <w:rPr>
          <w:rStyle w:val="Bold"/>
          <w:rFonts w:cstheme="minorBidi"/>
          <w:b/>
        </w:rPr>
      </w:pPr>
      <w:r w:rsidRPr="00D54E9F">
        <w:rPr>
          <w:rStyle w:val="Bold"/>
          <w:rFonts w:cstheme="minorBidi"/>
          <w:b/>
        </w:rPr>
        <w:lastRenderedPageBreak/>
        <w:t>Pregnancy and breastfeeding</w:t>
      </w:r>
    </w:p>
    <w:p w14:paraId="35960EAB" w14:textId="0CDE367A" w:rsidR="00AB4153" w:rsidRDefault="00342802" w:rsidP="003B0B39">
      <w:r w:rsidRPr="00342802">
        <w:t>Individuals who are pregnant should be advised to avoid contact with known or suspected cases of measles, mumps and rubella infection and report any rash illness or contact with rash illness to their GP and/or midwife. Women who are lacking two documented doses of MMR should be immunised after their pregnancy, at the earliest opportunity and before any further pregnancies. Note: MMR can be given to breast-feeding mothers without any risk to their baby.</w:t>
      </w:r>
    </w:p>
    <w:p w14:paraId="154814F0" w14:textId="77777777" w:rsidR="007639B5" w:rsidRDefault="00817A4C" w:rsidP="00817A4C">
      <w:pPr>
        <w:pStyle w:val="NormalH2"/>
      </w:pPr>
      <w:r>
        <w:t xml:space="preserve">1.5 </w:t>
      </w:r>
      <w:r w:rsidR="007639B5" w:rsidRPr="007639B5">
        <w:t>Action if excluded</w:t>
      </w:r>
    </w:p>
    <w:p w14:paraId="0957E5E6" w14:textId="77777777" w:rsidR="005B0324" w:rsidRPr="001712F3" w:rsidRDefault="005B0324" w:rsidP="005B0324">
      <w:r w:rsidRPr="001712F3">
        <w:t>Specialist advice must be sought on the vaccine and circumstances under which it could be given. Immunisation using a patient specific direction may be indicated. The risk to the individual of not being immunised must be taken into account.</w:t>
      </w:r>
    </w:p>
    <w:p w14:paraId="0C1B7090" w14:textId="5B3900BF" w:rsidR="005B0324" w:rsidRPr="001712F3" w:rsidRDefault="005B0324" w:rsidP="005B0324">
      <w:r w:rsidRPr="001712F3">
        <w:t xml:space="preserve">Document the reason for exclusion and any action taken in accordance with </w:t>
      </w:r>
      <w:r w:rsidR="00D54E9F">
        <w:br/>
      </w:r>
      <w:r w:rsidRPr="001712F3">
        <w:t>local procedures.</w:t>
      </w:r>
    </w:p>
    <w:p w14:paraId="13BA0D25" w14:textId="77777777" w:rsidR="005B0324" w:rsidRPr="001712F3" w:rsidRDefault="005B0324" w:rsidP="005B0324">
      <w:r w:rsidRPr="001712F3">
        <w:t>Inform or refer to the clinician in charge.</w:t>
      </w:r>
    </w:p>
    <w:p w14:paraId="63970D32" w14:textId="3B06E4C4" w:rsidR="005B0324" w:rsidRDefault="005B0324" w:rsidP="005B0324">
      <w:r w:rsidRPr="001712F3">
        <w:t>In case of postponement due to acute severe febrile illness, advise when the individual can be vaccinated and ensure another appointment is arranged.</w:t>
      </w:r>
    </w:p>
    <w:p w14:paraId="48059743" w14:textId="77777777" w:rsidR="00943B64" w:rsidRDefault="00943B64" w:rsidP="00943B64">
      <w:r>
        <w:t xml:space="preserve">Individuals who have had a confirmed anaphylactic reaction to a previous dose of MMR vaccine or any components of the vaccine should be referred to a clinician for specialist advice and appropriate management. </w:t>
      </w:r>
    </w:p>
    <w:p w14:paraId="30CA1A7A" w14:textId="39BB42C5" w:rsidR="00943B64" w:rsidRDefault="00943B64" w:rsidP="00943B64">
      <w:r>
        <w:t>Individuals who have been immunised against varicella,</w:t>
      </w:r>
      <w:r w:rsidR="00FC291A">
        <w:t xml:space="preserve"> </w:t>
      </w:r>
      <w:r w:rsidR="003F17B2">
        <w:t>Zostavax (live shingles vaccine)</w:t>
      </w:r>
      <w:r w:rsidR="00FC291A">
        <w:t xml:space="preserve"> </w:t>
      </w:r>
      <w:r>
        <w:t xml:space="preserve">or yellow fever within the last 4 weeks, or received blood products in the preceding 3 months, and do not require rapid protection against MMR, defer immunisation until appropriate </w:t>
      </w:r>
      <w:r w:rsidRPr="00600413">
        <w:t xml:space="preserve">interval (see </w:t>
      </w:r>
      <w:r>
        <w:t xml:space="preserve">Green Book </w:t>
      </w:r>
      <w:hyperlink r:id="rId35" w:history="1">
        <w:r w:rsidRPr="00A15466">
          <w:rPr>
            <w:rStyle w:val="Hyperlink"/>
          </w:rPr>
          <w:t>Chapter 21 Table 21.1</w:t>
        </w:r>
        <w:r w:rsidRPr="00B1106F">
          <w:rPr>
            <w:rStyle w:val="Hyperlink"/>
            <w:b w:val="0"/>
            <w:bCs w:val="0"/>
            <w:color w:val="auto"/>
          </w:rPr>
          <w:t>)</w:t>
        </w:r>
        <w:r w:rsidRPr="00A15466">
          <w:rPr>
            <w:rStyle w:val="Hyperlink"/>
          </w:rPr>
          <w:t>.</w:t>
        </w:r>
      </w:hyperlink>
    </w:p>
    <w:p w14:paraId="12830939" w14:textId="387BE164" w:rsidR="00943B64" w:rsidRDefault="00943B64" w:rsidP="005B0324">
      <w:r>
        <w:t>Individuals who are awaiting reading of a tuberculin (Mantoux) test, should delay MMR vaccination until the skin test has been read unless protection against measles is required urgently.</w:t>
      </w:r>
    </w:p>
    <w:p w14:paraId="61D82C55" w14:textId="77777777" w:rsidR="007639B5" w:rsidRDefault="007F2AC1" w:rsidP="007F2AC1">
      <w:pPr>
        <w:pStyle w:val="NormalH2"/>
      </w:pPr>
      <w:r>
        <w:lastRenderedPageBreak/>
        <w:t xml:space="preserve">1.6. </w:t>
      </w:r>
      <w:r w:rsidR="007639B5" w:rsidRPr="007639B5">
        <w:t>Action if patient declines</w:t>
      </w:r>
    </w:p>
    <w:p w14:paraId="3D29A4C7" w14:textId="77777777" w:rsidR="00817A4C" w:rsidRPr="001712F3" w:rsidRDefault="00817A4C" w:rsidP="00817A4C">
      <w:r w:rsidRPr="001712F3">
        <w:t xml:space="preserve">Advise the individual about the protective effects of the vaccine, the risks of infection and potential complications of disease. </w:t>
      </w:r>
    </w:p>
    <w:p w14:paraId="01A32F5A" w14:textId="77777777" w:rsidR="00817A4C" w:rsidRPr="001712F3" w:rsidRDefault="00817A4C" w:rsidP="00817A4C">
      <w:r w:rsidRPr="001712F3">
        <w:t>Advise how future immunisation may be accessed if they subsequently decide to receive the vaccine.</w:t>
      </w:r>
    </w:p>
    <w:p w14:paraId="6C5C46FD" w14:textId="77777777" w:rsidR="00817A4C" w:rsidRPr="001712F3" w:rsidRDefault="00817A4C" w:rsidP="00817A4C">
      <w:r w:rsidRPr="001712F3">
        <w:t xml:space="preserve">Document advice given and decision reached. </w:t>
      </w:r>
    </w:p>
    <w:p w14:paraId="2B1C5A10" w14:textId="77777777" w:rsidR="00090215" w:rsidRPr="007F2AC1" w:rsidRDefault="00817A4C">
      <w:r w:rsidRPr="001712F3">
        <w:t>Inform or refer to the clinician in charge.</w:t>
      </w:r>
      <w:r w:rsidR="00090215">
        <w:br w:type="page"/>
      </w:r>
    </w:p>
    <w:p w14:paraId="79B7EA75" w14:textId="77777777" w:rsidR="007639B5" w:rsidRDefault="007F2AC1" w:rsidP="007F2AC1">
      <w:pPr>
        <w:pStyle w:val="NormalH1"/>
      </w:pPr>
      <w:bookmarkStart w:id="24" w:name="_Toc124848777"/>
      <w:r>
        <w:lastRenderedPageBreak/>
        <w:t xml:space="preserve">2. </w:t>
      </w:r>
      <w:r w:rsidR="007639B5" w:rsidRPr="00817C6A">
        <w:t>Description</w:t>
      </w:r>
      <w:r w:rsidR="007639B5" w:rsidRPr="007639B5">
        <w:t xml:space="preserve"> of treatment</w:t>
      </w:r>
      <w:bookmarkEnd w:id="24"/>
    </w:p>
    <w:p w14:paraId="1FAA71C2" w14:textId="3FDAB4E9" w:rsidR="002A3357" w:rsidRDefault="003431FF" w:rsidP="007F2AC1">
      <w:pPr>
        <w:pStyle w:val="NormalH2"/>
      </w:pPr>
      <w:r>
        <w:t xml:space="preserve">2.1. </w:t>
      </w:r>
      <w:r w:rsidR="002A3357" w:rsidRPr="002A3357">
        <w:t>Name of medicine/form/strength</w:t>
      </w:r>
    </w:p>
    <w:p w14:paraId="42156F6F" w14:textId="77777777" w:rsidR="004E7D58" w:rsidRPr="00092F8E" w:rsidRDefault="004E7D58" w:rsidP="004E7D58">
      <w:r w:rsidRPr="00092F8E">
        <w:t xml:space="preserve">Measles, mumps and rubella vaccine (live): </w:t>
      </w:r>
    </w:p>
    <w:p w14:paraId="4B60C1AD" w14:textId="77777777" w:rsidR="004E7D58" w:rsidRDefault="004E7D58" w:rsidP="004E7D58">
      <w:pPr>
        <w:pStyle w:val="Bullet1"/>
      </w:pPr>
      <w:proofErr w:type="spellStart"/>
      <w:r w:rsidRPr="00092F8E">
        <w:t>Priorix</w:t>
      </w:r>
      <w:proofErr w:type="spellEnd"/>
      <w:r w:rsidRPr="00092F8E">
        <w:t xml:space="preserve">® or </w:t>
      </w:r>
      <w:proofErr w:type="spellStart"/>
      <w:r w:rsidRPr="00092F8E">
        <w:t>MMRVaxPRO</w:t>
      </w:r>
      <w:proofErr w:type="spellEnd"/>
      <w:r w:rsidRPr="00092F8E">
        <w:t>®</w:t>
      </w:r>
      <w:r>
        <w:t>.</w:t>
      </w:r>
    </w:p>
    <w:p w14:paraId="59F2E735" w14:textId="77777777" w:rsidR="004E7D58" w:rsidRPr="00092F8E" w:rsidRDefault="004E7D58" w:rsidP="004E7D58">
      <w:pPr>
        <w:pStyle w:val="Bullet1"/>
      </w:pPr>
      <w:proofErr w:type="spellStart"/>
      <w:r w:rsidRPr="00092F8E">
        <w:t>Priorix</w:t>
      </w:r>
      <w:proofErr w:type="spellEnd"/>
      <w:r w:rsidRPr="00092F8E">
        <w:t>®, powder and solvent for solution for injection in a pre-filled syringe</w:t>
      </w:r>
      <w:r>
        <w:t>.</w:t>
      </w:r>
    </w:p>
    <w:p w14:paraId="445B26AF" w14:textId="34DE8B96" w:rsidR="00AB7CDF" w:rsidRDefault="004E7D58" w:rsidP="007F2AC1">
      <w:pPr>
        <w:pStyle w:val="Bullet1"/>
      </w:pPr>
      <w:proofErr w:type="spellStart"/>
      <w:r w:rsidRPr="00092F8E">
        <w:t>MMRVaxPRO</w:t>
      </w:r>
      <w:proofErr w:type="spellEnd"/>
      <w:r w:rsidRPr="00092F8E">
        <w:t xml:space="preserve">®, powder and solvent for suspension for injection in a </w:t>
      </w:r>
      <w:r w:rsidR="00D54E9F">
        <w:br/>
      </w:r>
      <w:r w:rsidRPr="00092F8E">
        <w:t>pre-filled syringe</w:t>
      </w:r>
      <w:r>
        <w:t>.</w:t>
      </w:r>
    </w:p>
    <w:p w14:paraId="68DADEA4" w14:textId="07887595" w:rsidR="002A3357" w:rsidRDefault="003431FF" w:rsidP="007F2AC1">
      <w:pPr>
        <w:pStyle w:val="NormalH2"/>
      </w:pPr>
      <w:bookmarkStart w:id="25" w:name="_Toc57039419"/>
      <w:r>
        <w:t xml:space="preserve">2.2. </w:t>
      </w:r>
      <w:r w:rsidR="002A3357" w:rsidRPr="002A3357">
        <w:t>Route of administration</w:t>
      </w:r>
      <w:bookmarkEnd w:id="25"/>
    </w:p>
    <w:p w14:paraId="39F7E65C" w14:textId="589DB80E" w:rsidR="00E9003B" w:rsidRPr="00384D48" w:rsidRDefault="00E9003B" w:rsidP="00E9003B">
      <w:r w:rsidRPr="00384D48">
        <w:t>Administer by intramuscular</w:t>
      </w:r>
      <w:r>
        <w:t xml:space="preserve"> injection. </w:t>
      </w:r>
      <w:r w:rsidRPr="00384D48">
        <w:t>The preferred site is the deltoid region of the upper arm</w:t>
      </w:r>
      <w:r>
        <w:t xml:space="preserve"> or the </w:t>
      </w:r>
      <w:r w:rsidRPr="001355FB">
        <w:rPr>
          <w:rFonts w:cs="Arial"/>
        </w:rPr>
        <w:t>anterolateral aspect</w:t>
      </w:r>
      <w:r w:rsidRPr="00AC6CB7">
        <w:rPr>
          <w:rFonts w:cs="Arial"/>
        </w:rPr>
        <w:t xml:space="preserve"> of the thigh</w:t>
      </w:r>
      <w:r>
        <w:rPr>
          <w:rFonts w:cs="Arial"/>
        </w:rPr>
        <w:t>.</w:t>
      </w:r>
    </w:p>
    <w:p w14:paraId="764D1E27" w14:textId="662EBC9A" w:rsidR="00E9003B" w:rsidRDefault="00E9003B" w:rsidP="00E9003B">
      <w:r w:rsidRPr="00384D48">
        <w:t>The intramuscular route is routinely used because localised reactions are more common when vaccines are given subcutaneously. However, for individuals with a bleeding disorder, vaccines may alternatively be given by</w:t>
      </w:r>
      <w:r w:rsidR="00F74B95">
        <w:t xml:space="preserve"> deep</w:t>
      </w:r>
      <w:r w:rsidRPr="00384D48">
        <w:t xml:space="preserve"> subcutaneous injection to reduce the risk of bleeding.</w:t>
      </w:r>
    </w:p>
    <w:p w14:paraId="078AA9FE" w14:textId="77777777" w:rsidR="00E9003B" w:rsidRPr="00092F8E" w:rsidRDefault="00E9003B" w:rsidP="00E9003B">
      <w:r w:rsidRPr="00092F8E">
        <w:t>The vaccine must be reconstituted in accordance with the manufacturer’s instructions prior to administration.</w:t>
      </w:r>
    </w:p>
    <w:p w14:paraId="19137E0B" w14:textId="401979A6" w:rsidR="004E7D58" w:rsidRPr="00E9003B" w:rsidRDefault="00E9003B" w:rsidP="00E9003B">
      <w:pPr>
        <w:rPr>
          <w:highlight w:val="yellow"/>
        </w:rPr>
      </w:pPr>
      <w:r w:rsidRPr="00092F8E">
        <w:t>The vaccine should be visually inspected for particulate matter and discoloration prior to administration. In the event of any foreign particulate matter and/or variation of physical aspect being observed, do not administer the vaccine.</w:t>
      </w:r>
    </w:p>
    <w:p w14:paraId="2F9C1824" w14:textId="2C5CA255" w:rsidR="002A3357" w:rsidRDefault="003431FF" w:rsidP="007F2AC1">
      <w:pPr>
        <w:pStyle w:val="NormalH2"/>
      </w:pPr>
      <w:bookmarkStart w:id="26" w:name="_Toc57039420"/>
      <w:r>
        <w:t xml:space="preserve">2.3. </w:t>
      </w:r>
      <w:r w:rsidR="002A3357" w:rsidRPr="002A3357">
        <w:t>Dosage</w:t>
      </w:r>
      <w:bookmarkEnd w:id="26"/>
    </w:p>
    <w:p w14:paraId="249A4201" w14:textId="60403E82" w:rsidR="00510FAB" w:rsidRDefault="0099250A" w:rsidP="00510FAB">
      <w:r>
        <w:t xml:space="preserve">0.5ml </w:t>
      </w:r>
    </w:p>
    <w:p w14:paraId="702C0C91" w14:textId="77777777" w:rsidR="002B1CB4" w:rsidRDefault="002B1CB4">
      <w:pPr>
        <w:rPr>
          <w:b/>
          <w:color w:val="43358B"/>
          <w:sz w:val="32"/>
        </w:rPr>
      </w:pPr>
      <w:r>
        <w:br w:type="page"/>
      </w:r>
    </w:p>
    <w:p w14:paraId="1256D966" w14:textId="702C57AA" w:rsidR="002A3357" w:rsidRDefault="003431FF" w:rsidP="007F2AC1">
      <w:pPr>
        <w:pStyle w:val="NormalH2"/>
      </w:pPr>
      <w:r>
        <w:lastRenderedPageBreak/>
        <w:t xml:space="preserve">2.4. </w:t>
      </w:r>
      <w:r w:rsidR="002A3357" w:rsidRPr="002A3357">
        <w:t>Frequency</w:t>
      </w:r>
    </w:p>
    <w:p w14:paraId="50B3128C" w14:textId="77777777" w:rsidR="00FA6AB2" w:rsidRPr="00D54E9F" w:rsidRDefault="00FA6AB2" w:rsidP="00D54E9F">
      <w:pPr>
        <w:pStyle w:val="NormalH3"/>
        <w:rPr>
          <w:rStyle w:val="Bold"/>
          <w:rFonts w:cstheme="minorBidi"/>
          <w:b/>
        </w:rPr>
      </w:pPr>
      <w:r w:rsidRPr="00D54E9F">
        <w:rPr>
          <w:rStyle w:val="Bold"/>
          <w:rFonts w:cstheme="minorBidi"/>
          <w:b/>
        </w:rPr>
        <w:t xml:space="preserve">Routine childhood immunisation schedule </w:t>
      </w:r>
    </w:p>
    <w:p w14:paraId="00DB66FB" w14:textId="77777777" w:rsidR="00FA6AB2" w:rsidRDefault="00FA6AB2" w:rsidP="00FA6AB2">
      <w:r w:rsidRPr="00092F8E">
        <w:t xml:space="preserve">A total of two doses of 0.5ml provided at the recommended interval </w:t>
      </w:r>
      <w:r>
        <w:t>below:</w:t>
      </w:r>
    </w:p>
    <w:p w14:paraId="7C0A6C5E" w14:textId="35AAE4A0" w:rsidR="00FA6AB2" w:rsidRDefault="00FA6AB2" w:rsidP="00FA6AB2">
      <w:pPr>
        <w:pStyle w:val="Bullet1"/>
      </w:pPr>
      <w:r w:rsidRPr="00092F8E">
        <w:t xml:space="preserve">the first dose should routinely be given at 1 year of age (on or after the </w:t>
      </w:r>
      <w:r w:rsidR="00D54E9F">
        <w:br/>
      </w:r>
      <w:r w:rsidRPr="00092F8E">
        <w:t>first birthday)</w:t>
      </w:r>
      <w:r>
        <w:t>.</w:t>
      </w:r>
    </w:p>
    <w:p w14:paraId="36EC5367" w14:textId="0F466E67" w:rsidR="00FA6AB2" w:rsidRPr="00831ABB" w:rsidRDefault="00FA6AB2" w:rsidP="00FA6AB2">
      <w:pPr>
        <w:pStyle w:val="Bullet1"/>
      </w:pPr>
      <w:r w:rsidRPr="00831ABB">
        <w:t>the second dose is routinely scheduled before school entry at three years</w:t>
      </w:r>
      <w:r w:rsidR="00FC291A">
        <w:t xml:space="preserve">    </w:t>
      </w:r>
      <w:r w:rsidRPr="00831ABB">
        <w:t>four months of age</w:t>
      </w:r>
      <w:r>
        <w:t>.</w:t>
      </w:r>
    </w:p>
    <w:p w14:paraId="2A081CDA" w14:textId="77777777" w:rsidR="004B21BC" w:rsidRPr="00D54E9F" w:rsidRDefault="004B21BC" w:rsidP="00D54E9F">
      <w:pPr>
        <w:pStyle w:val="NormalH3"/>
        <w:rPr>
          <w:rStyle w:val="Bold"/>
          <w:rFonts w:cstheme="minorBidi"/>
          <w:b/>
        </w:rPr>
      </w:pPr>
      <w:r w:rsidRPr="00D54E9F">
        <w:rPr>
          <w:rStyle w:val="Bold"/>
          <w:rFonts w:cstheme="minorBidi"/>
          <w:b/>
        </w:rPr>
        <w:t xml:space="preserve">Incomplete immunisation history </w:t>
      </w:r>
    </w:p>
    <w:p w14:paraId="1447A307" w14:textId="77777777" w:rsidR="004B21BC" w:rsidRPr="00092F8E" w:rsidRDefault="004B21BC" w:rsidP="004B21BC">
      <w:r w:rsidRPr="00092F8E">
        <w:t>Individuals from 1 year of age who have not received an MMR vaccine should receive a dose and be brought up to date at the earliest opportunity.</w:t>
      </w:r>
    </w:p>
    <w:p w14:paraId="1B45F021" w14:textId="77777777" w:rsidR="004B21BC" w:rsidRDefault="004B21BC" w:rsidP="004B21BC">
      <w:r w:rsidRPr="00092F8E">
        <w:t>An individual who has already received one dose of MMR should receive a second dose according to the routine schedule or at least 1 month after the first dose (when aged 18 months or over) to ensure that they are protected.</w:t>
      </w:r>
    </w:p>
    <w:p w14:paraId="6519D862" w14:textId="54CF69F9" w:rsidR="004B21BC" w:rsidRDefault="004B21BC" w:rsidP="004B21BC">
      <w:r w:rsidRPr="009930BE">
        <w:t xml:space="preserve">Those individuals with uncertain or incomplete immunisation status should be vaccinated in accordance with the </w:t>
      </w:r>
      <w:hyperlink r:id="rId36" w:history="1">
        <w:r w:rsidRPr="009930BE">
          <w:rPr>
            <w:rStyle w:val="Hyperlink"/>
          </w:rPr>
          <w:t>vaccination of individuals with uncertain or incomplete immunisation status</w:t>
        </w:r>
      </w:hyperlink>
      <w:r w:rsidRPr="009930BE">
        <w:t xml:space="preserve"> </w:t>
      </w:r>
      <w:r w:rsidRPr="00831ABB">
        <w:t>flow chart.</w:t>
      </w:r>
    </w:p>
    <w:p w14:paraId="4FB04B9B" w14:textId="77777777" w:rsidR="00BE4E6A" w:rsidRPr="00D54E9F" w:rsidRDefault="00BE4E6A" w:rsidP="00D54E9F">
      <w:pPr>
        <w:pStyle w:val="NormalH3"/>
        <w:rPr>
          <w:rStyle w:val="Bold"/>
          <w:rFonts w:cstheme="minorBidi"/>
          <w:b/>
        </w:rPr>
      </w:pPr>
      <w:r w:rsidRPr="00D54E9F">
        <w:rPr>
          <w:rStyle w:val="Bold"/>
          <w:rFonts w:cstheme="minorBidi"/>
          <w:b/>
        </w:rPr>
        <w:t xml:space="preserve">Early vaccination due to travel, outbreak or contact with a probable or confirmed case of measles </w:t>
      </w:r>
    </w:p>
    <w:p w14:paraId="39515AF1" w14:textId="7806B0C1" w:rsidR="00BE4E6A" w:rsidRDefault="00BE4E6A" w:rsidP="00BE4E6A">
      <w:r>
        <w:t xml:space="preserve">In accordance with advice from local health protection team informed </w:t>
      </w:r>
      <w:proofErr w:type="spellStart"/>
      <w:r>
        <w:t>by</w:t>
      </w:r>
      <w:hyperlink r:id="rId37" w:history="1">
        <w:r w:rsidR="009476B3" w:rsidRPr="001E23BC">
          <w:rPr>
            <w:rStyle w:val="Hyperlink"/>
          </w:rPr>
          <w:t>UKHSA</w:t>
        </w:r>
        <w:proofErr w:type="spellEnd"/>
        <w:r w:rsidR="00CF799C" w:rsidRPr="001E23BC">
          <w:rPr>
            <w:rStyle w:val="Hyperlink"/>
          </w:rPr>
          <w:t xml:space="preserve"> National measles guidelines</w:t>
        </w:r>
      </w:hyperlink>
      <w:r w:rsidR="00CF799C">
        <w:t>.</w:t>
      </w:r>
    </w:p>
    <w:p w14:paraId="011A9D08" w14:textId="4BBFB3F8" w:rsidR="00BE4E6A" w:rsidRPr="00092F8E" w:rsidRDefault="00BE4E6A" w:rsidP="00BE4E6A">
      <w:r w:rsidRPr="00092F8E">
        <w:t xml:space="preserve">The MMR vaccine can be given from 6 months of age when early protection </w:t>
      </w:r>
      <w:r w:rsidR="00D54E9F">
        <w:br/>
      </w:r>
      <w:r w:rsidRPr="00092F8E">
        <w:t>is required.</w:t>
      </w:r>
    </w:p>
    <w:p w14:paraId="7506E856" w14:textId="77777777" w:rsidR="00BE4E6A" w:rsidRPr="00092F8E" w:rsidRDefault="00BE4E6A" w:rsidP="00BE4E6A">
      <w:r w:rsidRPr="00092F8E">
        <w:t xml:space="preserve">The response to MMR in infants is sub-optimal where the vaccine has been given before 1 year of age. If a dose of MMR is given before the first birthday, then this </w:t>
      </w:r>
      <w:r w:rsidRPr="00092F8E">
        <w:lastRenderedPageBreak/>
        <w:t>dose should be ignored. Two further doses of MMR should be given at the recommended ages in accordance with the routine schedule (at 1 year of age and a pre-school dose at three years four months).</w:t>
      </w:r>
    </w:p>
    <w:p w14:paraId="250C206F" w14:textId="77777777" w:rsidR="00BE4E6A" w:rsidRDefault="00BE4E6A" w:rsidP="00BE4E6A">
      <w:r w:rsidRPr="00092F8E">
        <w:t>Children who are travelling to epidemic or endemic areas, or who are a contact with a probable or confirmed case of measles, who have received one dose of MMR at the routine age should have the second dose brought forward to at least one month after the first. If the child is given the second dose at less than 15 months of age, then another routine dose (a third dose) should be given after 18 months of age in order to ensure full protection.</w:t>
      </w:r>
    </w:p>
    <w:p w14:paraId="28DEDA00" w14:textId="050841F7" w:rsidR="002A3357" w:rsidRDefault="003431FF" w:rsidP="007F2AC1">
      <w:pPr>
        <w:pStyle w:val="NormalH2"/>
      </w:pPr>
      <w:bookmarkStart w:id="27" w:name="_Toc57039422"/>
      <w:r>
        <w:t xml:space="preserve">2.5. </w:t>
      </w:r>
      <w:r w:rsidR="002A3357" w:rsidRPr="002A3357">
        <w:t>Duration of treatment</w:t>
      </w:r>
      <w:bookmarkEnd w:id="27"/>
    </w:p>
    <w:p w14:paraId="7B977359" w14:textId="66EB32EB" w:rsidR="00E20DDD" w:rsidRDefault="00220D79" w:rsidP="00220D79">
      <w:r>
        <w:t>See frequency section.</w:t>
      </w:r>
    </w:p>
    <w:p w14:paraId="085DF178" w14:textId="680D6039" w:rsidR="002A3357" w:rsidRDefault="003431FF" w:rsidP="007F2AC1">
      <w:pPr>
        <w:pStyle w:val="NormalH2"/>
      </w:pPr>
      <w:bookmarkStart w:id="28" w:name="_Toc57039423"/>
      <w:r>
        <w:t xml:space="preserve">2.6. </w:t>
      </w:r>
      <w:r w:rsidR="002A3357" w:rsidRPr="002A3357">
        <w:t>Maximum or minimum treatment period</w:t>
      </w:r>
      <w:bookmarkEnd w:id="28"/>
    </w:p>
    <w:p w14:paraId="64315866" w14:textId="7F0EA7A5" w:rsidR="00220D79" w:rsidRDefault="00502D33" w:rsidP="00502D33">
      <w:r>
        <w:t>See frequency section.</w:t>
      </w:r>
    </w:p>
    <w:p w14:paraId="1705364E" w14:textId="70426810" w:rsidR="002A3357" w:rsidRDefault="003431FF" w:rsidP="003431FF">
      <w:pPr>
        <w:pStyle w:val="NormalH2"/>
      </w:pPr>
      <w:bookmarkStart w:id="29" w:name="_Toc57039424"/>
      <w:r>
        <w:t xml:space="preserve">2.7. </w:t>
      </w:r>
      <w:r w:rsidR="002A3357" w:rsidRPr="002A3357">
        <w:t>Quantity to supply/administer</w:t>
      </w:r>
      <w:bookmarkEnd w:id="29"/>
    </w:p>
    <w:p w14:paraId="3E9F2938" w14:textId="43875644" w:rsidR="00502D33" w:rsidRDefault="0056259C" w:rsidP="0056259C">
      <w:r>
        <w:t>See frequency section.</w:t>
      </w:r>
    </w:p>
    <w:p w14:paraId="3E00FA2B" w14:textId="3A053B21" w:rsidR="002A3357" w:rsidRDefault="003431FF" w:rsidP="003431FF">
      <w:pPr>
        <w:pStyle w:val="NormalH2"/>
      </w:pPr>
      <w:bookmarkStart w:id="30" w:name="_Toc57039425"/>
      <w:r>
        <w:t xml:space="preserve">2.8. </w:t>
      </w:r>
      <w:r w:rsidR="002A3357" w:rsidRPr="002A3357">
        <w:t>▼ black triangle medicines</w:t>
      </w:r>
      <w:bookmarkEnd w:id="30"/>
    </w:p>
    <w:p w14:paraId="444308E1" w14:textId="77777777" w:rsidR="00842DBA" w:rsidRPr="00004C9F" w:rsidRDefault="00842DBA" w:rsidP="00842DBA">
      <w:r>
        <w:t>No</w:t>
      </w:r>
    </w:p>
    <w:p w14:paraId="468A276D" w14:textId="77777777" w:rsidR="002A3357" w:rsidRDefault="003431FF" w:rsidP="003431FF">
      <w:pPr>
        <w:pStyle w:val="NormalH2"/>
      </w:pPr>
      <w:bookmarkStart w:id="31" w:name="_Toc57039426"/>
      <w:r>
        <w:t xml:space="preserve">2.9. </w:t>
      </w:r>
      <w:r w:rsidR="002A3357" w:rsidRPr="002A3357">
        <w:t>Legal category</w:t>
      </w:r>
      <w:bookmarkEnd w:id="31"/>
    </w:p>
    <w:p w14:paraId="3D175857" w14:textId="77777777" w:rsidR="006B56A9" w:rsidRPr="006B56A9" w:rsidRDefault="006B56A9" w:rsidP="006B56A9">
      <w:r w:rsidRPr="006B56A9">
        <w:rPr>
          <w:rFonts w:eastAsia="Calibri" w:cs="Times New Roman"/>
        </w:rPr>
        <w:t>Prescription only medicine (POM).</w:t>
      </w:r>
    </w:p>
    <w:p w14:paraId="50DA1C0C" w14:textId="77777777" w:rsidR="00D54E9F" w:rsidRDefault="00D54E9F">
      <w:pPr>
        <w:rPr>
          <w:b/>
          <w:color w:val="43358B"/>
          <w:sz w:val="32"/>
        </w:rPr>
      </w:pPr>
      <w:bookmarkStart w:id="32" w:name="_Toc57039427"/>
      <w:r>
        <w:br w:type="page"/>
      </w:r>
    </w:p>
    <w:p w14:paraId="43A4CFFB" w14:textId="42F8762B" w:rsidR="002A3357" w:rsidRDefault="003431FF" w:rsidP="003431FF">
      <w:pPr>
        <w:pStyle w:val="NormalH2"/>
      </w:pPr>
      <w:r>
        <w:lastRenderedPageBreak/>
        <w:t xml:space="preserve">2.10. </w:t>
      </w:r>
      <w:r w:rsidR="002A3357" w:rsidRPr="002A3357">
        <w:t xml:space="preserve">Is the use </w:t>
      </w:r>
      <w:proofErr w:type="spellStart"/>
      <w:r w:rsidR="002A3357" w:rsidRPr="002A3357">
        <w:t>outwith</w:t>
      </w:r>
      <w:proofErr w:type="spellEnd"/>
      <w:r w:rsidR="002A3357" w:rsidRPr="002A3357">
        <w:t xml:space="preserve"> the S</w:t>
      </w:r>
      <w:r w:rsidR="00053378">
        <w:t>m</w:t>
      </w:r>
      <w:r w:rsidR="002A3357" w:rsidRPr="002A3357">
        <w:t>PC</w:t>
      </w:r>
      <w:bookmarkEnd w:id="32"/>
      <w:r w:rsidR="002A3357" w:rsidRPr="002A3357">
        <w:t>?</w:t>
      </w:r>
    </w:p>
    <w:p w14:paraId="558D971A" w14:textId="77777777" w:rsidR="009D3C68" w:rsidRDefault="009D3C68" w:rsidP="009D3C68">
      <w:r w:rsidRPr="00457346">
        <w:t xml:space="preserve">Administration to infants between 6 months and 9 months of age is off-label but in line with measles post-exposure prophylaxis guidance in accordance with recommendations given in </w:t>
      </w:r>
      <w:r>
        <w:t xml:space="preserve">Green Book </w:t>
      </w:r>
      <w:hyperlink r:id="rId38" w:history="1">
        <w:r w:rsidRPr="00E7332F">
          <w:rPr>
            <w:rStyle w:val="Hyperlink"/>
          </w:rPr>
          <w:t>Chapter 21</w:t>
        </w:r>
      </w:hyperlink>
      <w:r w:rsidRPr="00457346">
        <w:t xml:space="preserve">, </w:t>
      </w:r>
      <w:hyperlink r:id="rId39" w:history="1">
        <w:r w:rsidRPr="00E7332F">
          <w:rPr>
            <w:rStyle w:val="Hyperlink"/>
          </w:rPr>
          <w:t>Chapter 23</w:t>
        </w:r>
      </w:hyperlink>
      <w:r w:rsidRPr="00457346">
        <w:t xml:space="preserve"> and </w:t>
      </w:r>
      <w:hyperlink r:id="rId40" w:history="1">
        <w:r w:rsidRPr="00E7332F">
          <w:rPr>
            <w:rStyle w:val="Hyperlink"/>
          </w:rPr>
          <w:t>Chapter 28</w:t>
        </w:r>
      </w:hyperlink>
      <w:r w:rsidRPr="00457346">
        <w:t xml:space="preserve"> </w:t>
      </w:r>
    </w:p>
    <w:p w14:paraId="3C1C52A8" w14:textId="0724C4B1" w:rsidR="00842DBA" w:rsidRDefault="009D3C68" w:rsidP="009D3C68">
      <w:r w:rsidRPr="00C027EC">
        <w:t xml:space="preserve">Vaccine should be stored according to the conditions detailed below. However, in the event of an inadvertent or unavoidable deviation of these conditions refer to NHS </w:t>
      </w:r>
      <w:r>
        <w:t>B</w:t>
      </w:r>
      <w:r w:rsidRPr="00C027EC">
        <w:t xml:space="preserve">oard guidance on storage and handling of vaccines or </w:t>
      </w:r>
      <w:r>
        <w:t>N</w:t>
      </w:r>
      <w:r w:rsidRPr="00C027EC">
        <w:t xml:space="preserve">ational </w:t>
      </w:r>
      <w:r>
        <w:t>V</w:t>
      </w:r>
      <w:r w:rsidRPr="00C027EC">
        <w:t xml:space="preserve">accine </w:t>
      </w:r>
      <w:r>
        <w:t>I</w:t>
      </w:r>
      <w:r w:rsidRPr="00C027EC">
        <w:t xml:space="preserve">ncident </w:t>
      </w:r>
      <w:r>
        <w:t>G</w:t>
      </w:r>
      <w:r w:rsidRPr="00C027EC">
        <w:t>uidance. Where vaccine is assessed in accordance with these guidelines as appropriate for continued use, administration under this PGD is allowed.</w:t>
      </w:r>
    </w:p>
    <w:p w14:paraId="24CBA9E0" w14:textId="26593496" w:rsidR="002A3357" w:rsidRDefault="003431FF" w:rsidP="003431FF">
      <w:pPr>
        <w:pStyle w:val="NormalH2"/>
      </w:pPr>
      <w:bookmarkStart w:id="33" w:name="_Toc57039428"/>
      <w:r>
        <w:t>2.11</w:t>
      </w:r>
      <w:r w:rsidR="00817A4C">
        <w:t>.</w:t>
      </w:r>
      <w:r>
        <w:t xml:space="preserve"> </w:t>
      </w:r>
      <w:r w:rsidR="002A3357" w:rsidRPr="002A3357">
        <w:t>Storage requirements</w:t>
      </w:r>
      <w:bookmarkEnd w:id="33"/>
    </w:p>
    <w:p w14:paraId="1E494F36" w14:textId="77777777" w:rsidR="007C20B4" w:rsidRPr="00A12519" w:rsidRDefault="007C20B4" w:rsidP="007C20B4">
      <w:r w:rsidRPr="00A12519">
        <w:t>Vaccine should be stored at a temperature of +2° to +8°C.</w:t>
      </w:r>
    </w:p>
    <w:p w14:paraId="7D708FFF" w14:textId="77777777" w:rsidR="007C20B4" w:rsidRPr="00A12519" w:rsidRDefault="007C20B4" w:rsidP="007C20B4">
      <w:r w:rsidRPr="00A12519">
        <w:t>Store in the original packaging to protect from light.</w:t>
      </w:r>
    </w:p>
    <w:p w14:paraId="6251317B" w14:textId="77777777" w:rsidR="007C20B4" w:rsidRDefault="007C20B4" w:rsidP="007C20B4">
      <w:r w:rsidRPr="00A12519">
        <w:t>Do not freeze.</w:t>
      </w:r>
    </w:p>
    <w:p w14:paraId="5FE421A9" w14:textId="77777777" w:rsidR="007C20B4" w:rsidRPr="00C454E0" w:rsidRDefault="007C20B4" w:rsidP="007C20B4">
      <w:r>
        <w:t>After reconstitution, the vaccine should be administered promptly or stored between +2°C to +8°C and used within 8 hours of reconstitution. If not used after this time it should be discarded.</w:t>
      </w:r>
    </w:p>
    <w:p w14:paraId="4DEC3266" w14:textId="77777777" w:rsidR="007C20B4" w:rsidRPr="00A12519" w:rsidRDefault="007C20B4" w:rsidP="007C20B4">
      <w:r w:rsidRPr="00A12519">
        <w:t xml:space="preserve">NHS </w:t>
      </w:r>
      <w:r>
        <w:t>B</w:t>
      </w:r>
      <w:r w:rsidRPr="00A12519">
        <w:t>oard guidance on Storage and Handling of vaccines should be observed.</w:t>
      </w:r>
    </w:p>
    <w:p w14:paraId="26A92C37" w14:textId="1EC39AB1" w:rsidR="002B1CB4" w:rsidRDefault="007C20B4">
      <w:pPr>
        <w:rPr>
          <w:b/>
          <w:color w:val="43358B"/>
          <w:sz w:val="32"/>
        </w:rPr>
      </w:pPr>
      <w:r w:rsidRPr="00531746">
        <w:t>In the event of an inadvertent or unavoidable deviation of these conditions, vaccine that has been stored outside the conditions stated above should be quarantined and risk assessed for suitability of continued off-label use or appropriate disposal.</w:t>
      </w:r>
      <w:bookmarkStart w:id="34" w:name="_Toc57039429"/>
    </w:p>
    <w:p w14:paraId="3440BA1C" w14:textId="64EB0199" w:rsidR="002A3357" w:rsidRDefault="003431FF" w:rsidP="003431FF">
      <w:pPr>
        <w:pStyle w:val="NormalH2"/>
      </w:pPr>
      <w:r>
        <w:t xml:space="preserve">2.12. </w:t>
      </w:r>
      <w:r w:rsidR="002A3357" w:rsidRPr="002A3357">
        <w:t>Additional information</w:t>
      </w:r>
      <w:bookmarkEnd w:id="34"/>
    </w:p>
    <w:p w14:paraId="1D616D9B" w14:textId="77777777" w:rsidR="00D06B3B" w:rsidRPr="00092F8E" w:rsidRDefault="00D06B3B" w:rsidP="00D06B3B">
      <w:r w:rsidRPr="00092F8E">
        <w:t>Minor illnesses without fever or systemic upset are not valid reasons to postpone immunisation. If an individual is acutely unwell, immunisation may be postponed until they have fully recovered.</w:t>
      </w:r>
    </w:p>
    <w:p w14:paraId="3DB68CEE" w14:textId="77777777" w:rsidR="00D06B3B" w:rsidRPr="00092F8E" w:rsidRDefault="00D06B3B" w:rsidP="00D06B3B">
      <w:r w:rsidRPr="00092F8E">
        <w:lastRenderedPageBreak/>
        <w:t>Recent data suggest that anaphylactic reactions to MMR vaccine are not associated with hypersensitivity to egg antigens. All children with egg allergy should receive the MMR vaccination as a routine procedure in primary care.</w:t>
      </w:r>
    </w:p>
    <w:p w14:paraId="1F495417" w14:textId="77777777" w:rsidR="00D06B3B" w:rsidRPr="00092F8E" w:rsidRDefault="00D06B3B" w:rsidP="00D06B3B">
      <w:proofErr w:type="spellStart"/>
      <w:r w:rsidRPr="00092F8E">
        <w:t>MMRVaxPRO</w:t>
      </w:r>
      <w:proofErr w:type="spellEnd"/>
      <w:r w:rsidRPr="00092F8E">
        <w:t xml:space="preserve">® (Sanofi Pasteur MSD) contains porcine gelatine. </w:t>
      </w:r>
      <w:proofErr w:type="spellStart"/>
      <w:r w:rsidRPr="00092F8E">
        <w:t>Priorix</w:t>
      </w:r>
      <w:proofErr w:type="spellEnd"/>
      <w:r w:rsidRPr="00092F8E">
        <w:t xml:space="preserve">® (GSK) does NOT contain porcine gelatine and can be offered as an alternative to </w:t>
      </w:r>
      <w:proofErr w:type="spellStart"/>
      <w:r w:rsidRPr="00092F8E">
        <w:t>MMRVaxPRO</w:t>
      </w:r>
      <w:proofErr w:type="spellEnd"/>
      <w:r w:rsidRPr="00092F8E">
        <w:t xml:space="preserve">®. Health professionals should be aware to order </w:t>
      </w:r>
      <w:proofErr w:type="spellStart"/>
      <w:r w:rsidRPr="00092F8E">
        <w:t>Priorix</w:t>
      </w:r>
      <w:proofErr w:type="spellEnd"/>
      <w:r w:rsidRPr="00092F8E">
        <w:t>® when running c</w:t>
      </w:r>
      <w:r>
        <w:t>linics for relevant communities.</w:t>
      </w:r>
    </w:p>
    <w:p w14:paraId="5B2BB0B9" w14:textId="77777777" w:rsidR="00D06B3B" w:rsidRDefault="00D06B3B" w:rsidP="00D06B3B">
      <w:r w:rsidRPr="00092F8E">
        <w:t xml:space="preserve">MMR vaccine is recommended when protection against measles, mumps and/or rubella is required. MMR vaccine can be given irrespective of a history of measles, mumps or rubella infection or vaccination. There are no ill effects from vaccinating those who are already immune. If there is doubt about an individual’s MMR immune status, MMR vaccine should still be given. </w:t>
      </w:r>
    </w:p>
    <w:p w14:paraId="36279627" w14:textId="5A72DCB0" w:rsidR="00D06B3B" w:rsidRPr="008703BE" w:rsidRDefault="00D06B3B" w:rsidP="00D06B3B">
      <w:r>
        <w:t xml:space="preserve">Immunological response may be diminished in those receiving </w:t>
      </w:r>
      <w:r w:rsidR="00D54E9F">
        <w:br/>
      </w:r>
      <w:r>
        <w:t>immunosuppressive treatment.</w:t>
      </w:r>
    </w:p>
    <w:p w14:paraId="27B8340E" w14:textId="40BA269C" w:rsidR="00D06B3B" w:rsidRPr="008703BE" w:rsidRDefault="00D06B3B" w:rsidP="00D06B3B">
      <w:r w:rsidRPr="000905DC">
        <w:t xml:space="preserve">Entry into college, university or other higher education institutions, prison or military service provides an opportunity to check an individual’s immunisation history. </w:t>
      </w:r>
      <w:r w:rsidR="00D54E9F">
        <w:br/>
      </w:r>
      <w:r w:rsidRPr="000905DC">
        <w:t xml:space="preserve">Those who have not received </w:t>
      </w:r>
      <w:r>
        <w:t>two doses of MMR should be offered ap</w:t>
      </w:r>
      <w:r w:rsidRPr="000905DC">
        <w:t xml:space="preserve">propriate </w:t>
      </w:r>
      <w:r w:rsidR="00D54E9F">
        <w:br/>
      </w:r>
      <w:r w:rsidRPr="000905DC">
        <w:t>MMR immunisation.</w:t>
      </w:r>
    </w:p>
    <w:p w14:paraId="60B1C76A" w14:textId="77777777" w:rsidR="00D06B3B" w:rsidRPr="008703BE" w:rsidRDefault="00D06B3B" w:rsidP="00D06B3B">
      <w:pPr>
        <w:rPr>
          <w:lang w:eastAsia="en-GB"/>
        </w:rPr>
      </w:pPr>
      <w:r w:rsidRPr="007944F3">
        <w:rPr>
          <w:lang w:eastAsia="en-GB"/>
        </w:rPr>
        <w:t>Pre</w:t>
      </w:r>
      <w:r>
        <w:rPr>
          <w:lang w:eastAsia="en-GB"/>
        </w:rPr>
        <w:t>-conceptual care,</w:t>
      </w:r>
      <w:r w:rsidRPr="007944F3">
        <w:rPr>
          <w:lang w:eastAsia="en-GB"/>
        </w:rPr>
        <w:t xml:space="preserve"> </w:t>
      </w:r>
      <w:r>
        <w:rPr>
          <w:lang w:eastAsia="en-GB"/>
        </w:rPr>
        <w:t xml:space="preserve">antenatal and </w:t>
      </w:r>
      <w:r w:rsidRPr="007944F3">
        <w:rPr>
          <w:lang w:eastAsia="en-GB"/>
        </w:rPr>
        <w:t xml:space="preserve">post-natal checks provide an opportunity to assess MMR status. </w:t>
      </w:r>
      <w:r>
        <w:rPr>
          <w:lang w:eastAsia="en-GB"/>
        </w:rPr>
        <w:t>Individuals</w:t>
      </w:r>
      <w:r w:rsidRPr="007944F3">
        <w:rPr>
          <w:lang w:eastAsia="en-GB"/>
        </w:rPr>
        <w:t xml:space="preserve"> who have not received </w:t>
      </w:r>
      <w:r>
        <w:rPr>
          <w:lang w:eastAsia="en-GB"/>
        </w:rPr>
        <w:t xml:space="preserve">two doses of </w:t>
      </w:r>
      <w:r w:rsidRPr="007944F3">
        <w:rPr>
          <w:lang w:eastAsia="en-GB"/>
        </w:rPr>
        <w:t xml:space="preserve">MMR </w:t>
      </w:r>
      <w:r>
        <w:rPr>
          <w:lang w:eastAsia="en-GB"/>
        </w:rPr>
        <w:t xml:space="preserve">at an appropriate interval </w:t>
      </w:r>
      <w:r w:rsidRPr="007944F3">
        <w:rPr>
          <w:lang w:eastAsia="en-GB"/>
        </w:rPr>
        <w:t xml:space="preserve">should be offered </w:t>
      </w:r>
      <w:r>
        <w:rPr>
          <w:lang w:eastAsia="en-GB"/>
        </w:rPr>
        <w:t xml:space="preserve">pre- or post-natal </w:t>
      </w:r>
      <w:r w:rsidRPr="007944F3">
        <w:rPr>
          <w:lang w:eastAsia="en-GB"/>
        </w:rPr>
        <w:t>MMR immunisation</w:t>
      </w:r>
      <w:r>
        <w:rPr>
          <w:lang w:eastAsia="en-GB"/>
        </w:rPr>
        <w:t>. Pregnancy should be avoided for at least 1 month following vaccination.</w:t>
      </w:r>
    </w:p>
    <w:p w14:paraId="5E06A696" w14:textId="3F9A368E" w:rsidR="00D06B3B" w:rsidRDefault="00D06B3B" w:rsidP="00D06B3B">
      <w:pPr>
        <w:rPr>
          <w:color w:val="262626" w:themeColor="text1" w:themeTint="D9"/>
        </w:rPr>
      </w:pPr>
      <w:r>
        <w:br w:type="page"/>
      </w:r>
    </w:p>
    <w:p w14:paraId="64D00285" w14:textId="77777777" w:rsidR="007639B5" w:rsidRDefault="007F2AC1" w:rsidP="007F2AC1">
      <w:pPr>
        <w:pStyle w:val="NormalH1"/>
      </w:pPr>
      <w:bookmarkStart w:id="35" w:name="_Toc124848778"/>
      <w:r>
        <w:lastRenderedPageBreak/>
        <w:t xml:space="preserve">3. </w:t>
      </w:r>
      <w:r w:rsidR="007639B5" w:rsidRPr="007639B5">
        <w:t>Adverse reactions</w:t>
      </w:r>
      <w:bookmarkEnd w:id="35"/>
    </w:p>
    <w:p w14:paraId="1AFDA00E" w14:textId="2A7EF2E5" w:rsidR="002A3357" w:rsidRDefault="003431FF" w:rsidP="003A275C">
      <w:pPr>
        <w:pStyle w:val="NormalH2"/>
      </w:pPr>
      <w:r w:rsidRPr="003A275C">
        <w:t>3.1</w:t>
      </w:r>
      <w:r w:rsidR="009D1F3E" w:rsidRPr="003A275C">
        <w:t>.</w:t>
      </w:r>
      <w:r w:rsidRPr="003A275C">
        <w:t xml:space="preserve"> </w:t>
      </w:r>
      <w:r w:rsidR="002A3357" w:rsidRPr="003A275C">
        <w:t>Warnings including possible adverse reactions and management of these</w:t>
      </w:r>
    </w:p>
    <w:p w14:paraId="549002D1" w14:textId="77777777" w:rsidR="005A6A09" w:rsidRPr="008F167C" w:rsidRDefault="005A6A09" w:rsidP="005A6A09">
      <w:r w:rsidRPr="008F167C">
        <w:t>For full details/information on possible side effects, refer to the marketing authorisation holder’s S</w:t>
      </w:r>
      <w:r>
        <w:t>m</w:t>
      </w:r>
      <w:r w:rsidRPr="008F167C">
        <w:t>PC.</w:t>
      </w:r>
    </w:p>
    <w:p w14:paraId="33C90190" w14:textId="77777777" w:rsidR="005A6A09" w:rsidRPr="008F167C" w:rsidRDefault="005A6A09" w:rsidP="005A6A09">
      <w:r w:rsidRPr="008F167C">
        <w:t>As with all vaccines there is a very small possibility of anaphylaxis and facilities for its management must be available.</w:t>
      </w:r>
    </w:p>
    <w:p w14:paraId="414DD1E5" w14:textId="77777777" w:rsidR="005A6A09" w:rsidRDefault="005A6A09" w:rsidP="005A6A09">
      <w:r w:rsidRPr="008F167C">
        <w:t>In the event of severe adverse reaction individual</w:t>
      </w:r>
      <w:r>
        <w:t>s</w:t>
      </w:r>
      <w:r w:rsidRPr="008F167C">
        <w:t xml:space="preserve"> should be advised to seek medical advice.</w:t>
      </w:r>
    </w:p>
    <w:p w14:paraId="617A1D33" w14:textId="77777777" w:rsidR="005A6A09" w:rsidRDefault="005A6A09" w:rsidP="005A6A09">
      <w:r>
        <w:t>The most common adverse reactions are fever and injection site reactions including pain, swelling and erythema.</w:t>
      </w:r>
    </w:p>
    <w:p w14:paraId="24BF13A8" w14:textId="77777777" w:rsidR="005A6A09" w:rsidRDefault="005A6A09" w:rsidP="005A6A09">
      <w:r>
        <w:t>Malaise, fever and/or a rash may occur, most commonly about a week after immunisation, and last about two to three days. In studies parotid swelling occurred in about 1% of children of all ages up to four years, usually in the third week.</w:t>
      </w:r>
    </w:p>
    <w:p w14:paraId="5161DD9C" w14:textId="77777777" w:rsidR="005A6A09" w:rsidRDefault="005A6A09" w:rsidP="005A6A09">
      <w:r>
        <w:t>Events due to the measles component occur six to eleven days after vaccination. Events due to the mumps and rubella components usually occur two to three weeks after vaccination but may occur up to six weeks after vaccination. Individuals with vaccine-associated symptoms are not infectious to others.</w:t>
      </w:r>
    </w:p>
    <w:p w14:paraId="327F91C0" w14:textId="77777777" w:rsidR="005A6A09" w:rsidRDefault="005A6A09" w:rsidP="005A6A09">
      <w:r>
        <w:t>Adverse reactions are considerably less common after a second dose of MMR vaccine than after the first dose.</w:t>
      </w:r>
    </w:p>
    <w:p w14:paraId="69563292" w14:textId="77777777" w:rsidR="00FD4CE7" w:rsidRPr="00D54E9F" w:rsidRDefault="00FD4CE7" w:rsidP="00D54E9F">
      <w:pPr>
        <w:pStyle w:val="NormalH3"/>
        <w:rPr>
          <w:rStyle w:val="Bold"/>
          <w:rFonts w:cstheme="minorBidi"/>
          <w:b/>
        </w:rPr>
      </w:pPr>
      <w:r w:rsidRPr="00D54E9F">
        <w:rPr>
          <w:rStyle w:val="Bold"/>
          <w:rFonts w:cstheme="minorBidi"/>
          <w:b/>
        </w:rPr>
        <w:t>Rare and more serious events</w:t>
      </w:r>
    </w:p>
    <w:p w14:paraId="2ADEE7CD" w14:textId="3BBF72EB" w:rsidR="00FD4CE7" w:rsidRDefault="00FD4CE7" w:rsidP="00FD4CE7">
      <w:r w:rsidRPr="00E36F94">
        <w:t>Febrile seizures are the most commonly reported neurological event following measles immunisation. Seizures occur during the sixth to eleventh day in 1 in 1000 children vaccinated with MMR.</w:t>
      </w:r>
    </w:p>
    <w:p w14:paraId="08BE3BB9" w14:textId="77777777" w:rsidR="005064AC" w:rsidRPr="00E36F94" w:rsidRDefault="005064AC" w:rsidP="005064AC">
      <w:r w:rsidRPr="00E36F94">
        <w:lastRenderedPageBreak/>
        <w:t>Arthropathy (arthralgia or arthritis) has also been reported to occur rarely after MMR immunisation, probably due to the rubella component. If it is caused by the vaccine, it should occur between 14 and 21 days after immunisation. Where it occurs at other times, it is highly unlikely to have been caused by vaccination.</w:t>
      </w:r>
    </w:p>
    <w:p w14:paraId="0505D2C5" w14:textId="7D7F22FE" w:rsidR="005064AC" w:rsidRPr="00E36F94" w:rsidRDefault="005064AC" w:rsidP="005064AC">
      <w:r w:rsidRPr="00E36F94">
        <w:t xml:space="preserve">ITP has occurred rarely following MMR vaccination, usually within six weeks of the first dose and resolves spontaneously. The risk of developing ITP after MMR </w:t>
      </w:r>
      <w:r w:rsidR="00D54E9F">
        <w:br/>
      </w:r>
      <w:r w:rsidRPr="00E36F94">
        <w:t>vaccine is much less than the risk of developing it after infection with wild measles or rubella virus.</w:t>
      </w:r>
    </w:p>
    <w:p w14:paraId="6338F269" w14:textId="760F8CA9" w:rsidR="00D06B3B" w:rsidRPr="005064AC" w:rsidRDefault="005064AC" w:rsidP="005064AC">
      <w:pPr>
        <w:rPr>
          <w:rFonts w:cs="Arial"/>
          <w:b/>
        </w:rPr>
      </w:pPr>
      <w:r w:rsidRPr="00E36F94">
        <w:t xml:space="preserve">Further details on adverse reactions following MMR vaccine can be found in the Green Book </w:t>
      </w:r>
      <w:hyperlink r:id="rId41" w:history="1">
        <w:r w:rsidRPr="00E36F94">
          <w:rPr>
            <w:rStyle w:val="Hyperlink"/>
          </w:rPr>
          <w:t>Chapter 21</w:t>
        </w:r>
      </w:hyperlink>
      <w:r w:rsidRPr="00E36F94">
        <w:t xml:space="preserve">, </w:t>
      </w:r>
      <w:hyperlink r:id="rId42" w:history="1">
        <w:r w:rsidRPr="00B83C26">
          <w:rPr>
            <w:rStyle w:val="Hyperlink"/>
          </w:rPr>
          <w:t>Chapter 23</w:t>
        </w:r>
      </w:hyperlink>
      <w:r w:rsidRPr="00E36F94">
        <w:t xml:space="preserve"> and </w:t>
      </w:r>
      <w:hyperlink r:id="rId43" w:history="1">
        <w:r w:rsidRPr="008C4C05">
          <w:rPr>
            <w:rStyle w:val="Hyperlink"/>
          </w:rPr>
          <w:t>Chapter 28</w:t>
        </w:r>
      </w:hyperlink>
      <w:r w:rsidRPr="00E36F94">
        <w:t>.</w:t>
      </w:r>
    </w:p>
    <w:p w14:paraId="0EF1F69B" w14:textId="77777777" w:rsidR="002A3357" w:rsidRDefault="009D1F3E" w:rsidP="003A275C">
      <w:pPr>
        <w:pStyle w:val="NormalH2"/>
      </w:pPr>
      <w:r>
        <w:t xml:space="preserve">3.2. </w:t>
      </w:r>
      <w:r w:rsidR="002A3357" w:rsidRPr="002A3357">
        <w:t>Reporting procedure for adverse reactions</w:t>
      </w:r>
    </w:p>
    <w:p w14:paraId="738E50A7" w14:textId="77777777" w:rsidR="00BE4CCF" w:rsidRDefault="00BE4CCF" w:rsidP="00BE4CCF">
      <w:r w:rsidRPr="002264D2">
        <w:t xml:space="preserve">Healthcare professionals and individuals/carers should report all suspected adverse reactions to the Medicines and Healthcare products Regulatory Agency (MHRA) using the Yellow Card reporting scheme on </w:t>
      </w:r>
      <w:hyperlink r:id="rId44" w:history="1">
        <w:r w:rsidRPr="002264D2">
          <w:rPr>
            <w:rStyle w:val="Hyperlink"/>
          </w:rPr>
          <w:t>http://www.mhra.gov.uk/yellowcard</w:t>
        </w:r>
      </w:hyperlink>
    </w:p>
    <w:p w14:paraId="35B90749" w14:textId="5495B507" w:rsidR="00BE4CCF" w:rsidRPr="00CF1C5D" w:rsidRDefault="00BE4CCF" w:rsidP="00BE4CCF">
      <w:r w:rsidRPr="00CF1C5D">
        <w:t xml:space="preserve">Any adverse reaction to a vaccine should be documented in accordance with </w:t>
      </w:r>
      <w:r w:rsidR="00D54E9F">
        <w:br/>
      </w:r>
      <w:r w:rsidRPr="00CF1C5D">
        <w:t xml:space="preserve">locally agreed procedures in the individual’s record and the individual’s GP should </w:t>
      </w:r>
      <w:r w:rsidR="00D54E9F">
        <w:br/>
      </w:r>
      <w:r w:rsidRPr="00CF1C5D">
        <w:t>be informed.</w:t>
      </w:r>
    </w:p>
    <w:p w14:paraId="165955A9" w14:textId="77777777" w:rsidR="002A3357" w:rsidRDefault="009D1F3E" w:rsidP="009D1F3E">
      <w:pPr>
        <w:pStyle w:val="NormalH2"/>
      </w:pPr>
      <w:r>
        <w:t xml:space="preserve">3.3. </w:t>
      </w:r>
      <w:r w:rsidR="002A3357" w:rsidRPr="002A3357">
        <w:t>Advice to patient or carer including written information</w:t>
      </w:r>
    </w:p>
    <w:p w14:paraId="7C37FB93" w14:textId="77777777" w:rsidR="009D1F3E" w:rsidRPr="00703A8C" w:rsidRDefault="009D1F3E" w:rsidP="009D1F3E">
      <w:r w:rsidRPr="00703A8C">
        <w:t>Written information to be given to individual:</w:t>
      </w:r>
    </w:p>
    <w:p w14:paraId="0ABB25AD" w14:textId="27EA0766" w:rsidR="009D1F3E" w:rsidRPr="00703A8C" w:rsidRDefault="009D1F3E" w:rsidP="009D1F3E">
      <w:pPr>
        <w:pStyle w:val="Bullet1"/>
      </w:pPr>
      <w:r w:rsidRPr="00703A8C">
        <w:t>Provide manufacturer’s consumer information leaflet/patient information leaflet (PIL) provided with the vaccine.</w:t>
      </w:r>
      <w:r w:rsidR="00FC291A">
        <w:t xml:space="preserve"> </w:t>
      </w:r>
    </w:p>
    <w:p w14:paraId="48A10748" w14:textId="77777777" w:rsidR="009D1F3E" w:rsidRPr="00703A8C" w:rsidRDefault="009D1F3E" w:rsidP="009D1F3E">
      <w:pPr>
        <w:pStyle w:val="Bullet1"/>
      </w:pPr>
      <w:r w:rsidRPr="00703A8C">
        <w:t>Supply immunisation promotional material as appropriate.</w:t>
      </w:r>
    </w:p>
    <w:p w14:paraId="64A14027" w14:textId="0AEC2E8C" w:rsidR="009D1F3E" w:rsidRPr="00703A8C" w:rsidRDefault="009D1F3E" w:rsidP="009D1F3E">
      <w:r w:rsidRPr="00703A8C">
        <w:t>Individual advice/follow</w:t>
      </w:r>
      <w:r w:rsidR="00D54E9F">
        <w:t>-</w:t>
      </w:r>
      <w:r w:rsidRPr="00703A8C">
        <w:t>up treatment:</w:t>
      </w:r>
    </w:p>
    <w:p w14:paraId="192700B2" w14:textId="0BB630A2" w:rsidR="009D1F3E" w:rsidRDefault="009D1F3E" w:rsidP="009D1F3E">
      <w:pPr>
        <w:pStyle w:val="Bullet1"/>
      </w:pPr>
      <w:r w:rsidRPr="00703A8C">
        <w:t xml:space="preserve">Inform the individual/carer of possible side effects and their management. </w:t>
      </w:r>
    </w:p>
    <w:p w14:paraId="3D43B74E" w14:textId="77777777" w:rsidR="00B35497" w:rsidRDefault="00B35497" w:rsidP="00B35497">
      <w:pPr>
        <w:pStyle w:val="Bullet1"/>
      </w:pPr>
      <w:r w:rsidRPr="001741F1">
        <w:lastRenderedPageBreak/>
        <w:t>The individual should be advised to seek medical advice in the event of a severe adverse reaction.</w:t>
      </w:r>
    </w:p>
    <w:p w14:paraId="69DC1150" w14:textId="21C25C78" w:rsidR="00B35497" w:rsidRPr="006A4DED" w:rsidRDefault="00B35497" w:rsidP="00B35497">
      <w:pPr>
        <w:pStyle w:val="Bullet1"/>
      </w:pPr>
      <w:r>
        <w:t xml:space="preserve">Advise the individual that pregnancy should be avoided for one month after </w:t>
      </w:r>
      <w:r w:rsidR="00D54E9F">
        <w:br/>
      </w:r>
      <w:r>
        <w:t>the vaccination.</w:t>
      </w:r>
    </w:p>
    <w:p w14:paraId="6774636F" w14:textId="536FB771" w:rsidR="005064AC" w:rsidRPr="00703A8C" w:rsidRDefault="00B35497" w:rsidP="006F3D43">
      <w:pPr>
        <w:pStyle w:val="Tablebullet1"/>
      </w:pPr>
      <w:r w:rsidRPr="00912AC3">
        <w:t xml:space="preserve">Inform the individual that they can report suspected adverse reactions to the MHRA using the Yellow Card reporting scheme on: </w:t>
      </w:r>
      <w:hyperlink r:id="rId45" w:history="1">
        <w:r w:rsidRPr="003508B2">
          <w:rPr>
            <w:rStyle w:val="Hyperlink"/>
          </w:rPr>
          <w:t>http://www.mhra.gov.uk/yellowcard</w:t>
        </w:r>
      </w:hyperlink>
    </w:p>
    <w:p w14:paraId="542F68B7" w14:textId="77777777" w:rsidR="002A3357" w:rsidRDefault="009D1F3E" w:rsidP="009D1F3E">
      <w:pPr>
        <w:pStyle w:val="NormalH2"/>
      </w:pPr>
      <w:r>
        <w:t xml:space="preserve">3.4. </w:t>
      </w:r>
      <w:r w:rsidR="002A3357" w:rsidRPr="002A3357">
        <w:t>Observation following vaccination</w:t>
      </w:r>
    </w:p>
    <w:p w14:paraId="5480546E" w14:textId="742E7D29" w:rsidR="000F6E13" w:rsidRDefault="000F6E13" w:rsidP="009D1F3E">
      <w:r w:rsidRPr="000F6E13">
        <w:t xml:space="preserve">As syncope (fainting) can occur following vaccination, all vaccinees should either </w:t>
      </w:r>
      <w:r w:rsidR="00D54E9F">
        <w:br/>
      </w:r>
      <w:r w:rsidRPr="000F6E13">
        <w:t>be driven by someone else or should not drive for 15 minutes after vaccination.</w:t>
      </w:r>
    </w:p>
    <w:p w14:paraId="39D10A80" w14:textId="3DF17BFD" w:rsidR="009D1F3E" w:rsidRDefault="009D1F3E" w:rsidP="009D1F3E">
      <w:r w:rsidRPr="00703A8C">
        <w:t xml:space="preserve">Following immunisation, patients remain under observation in line with NHS </w:t>
      </w:r>
      <w:r w:rsidR="00D54E9F">
        <w:br/>
        <w:t>b</w:t>
      </w:r>
      <w:r w:rsidRPr="00703A8C">
        <w:t>oard policy.</w:t>
      </w:r>
    </w:p>
    <w:p w14:paraId="238C980F" w14:textId="77777777" w:rsidR="002A3357" w:rsidRDefault="009D1F3E" w:rsidP="009D1F3E">
      <w:pPr>
        <w:pStyle w:val="NormalH2"/>
      </w:pPr>
      <w:r>
        <w:t xml:space="preserve">3.5. </w:t>
      </w:r>
      <w:r w:rsidR="002A3357" w:rsidRPr="002A3357">
        <w:t>Follow up</w:t>
      </w:r>
    </w:p>
    <w:p w14:paraId="63B23CD5" w14:textId="1AE70E91" w:rsidR="00814B11" w:rsidRPr="00814B11" w:rsidRDefault="00B35497" w:rsidP="00814B11">
      <w:r>
        <w:t>Not applicable.</w:t>
      </w:r>
    </w:p>
    <w:p w14:paraId="47D498DC" w14:textId="77777777" w:rsidR="002A3357" w:rsidRDefault="009D1F3E" w:rsidP="009D1F3E">
      <w:pPr>
        <w:pStyle w:val="NormalH2"/>
      </w:pPr>
      <w:r>
        <w:t xml:space="preserve">3.6. </w:t>
      </w:r>
      <w:r w:rsidR="002A3357" w:rsidRPr="002A3357">
        <w:t>Additional facilities</w:t>
      </w:r>
    </w:p>
    <w:p w14:paraId="41F915D3" w14:textId="77777777" w:rsidR="009D1F3E" w:rsidRDefault="009D1F3E" w:rsidP="009D1F3E">
      <w:r w:rsidRPr="001712F3">
        <w:t xml:space="preserve">A protocol for the management of anaphylaxis and an anaphylaxis pack must always be available whenever vaccines are given. Immediate treatment should include early treatment with intramuscular adrenaline, with an early call for help and further IM adrenaline every 5 minutes. </w:t>
      </w:r>
    </w:p>
    <w:p w14:paraId="0BC71AB2" w14:textId="77777777" w:rsidR="00053378" w:rsidRDefault="009D1F3E">
      <w:r w:rsidRPr="001712F3">
        <w:t>The health professionals overseeing the immunisation service must be trained to recognise an anaphylactic reaction and be familiar with techniques for resuscitation of a patient with anaphylaxis.</w:t>
      </w:r>
    </w:p>
    <w:p w14:paraId="7057C660" w14:textId="77777777" w:rsidR="00D21034" w:rsidRDefault="00D21034">
      <w:r>
        <w:br w:type="page"/>
      </w:r>
    </w:p>
    <w:p w14:paraId="7262350D" w14:textId="77777777" w:rsidR="007639B5" w:rsidRDefault="00EC3EE6" w:rsidP="00EC3EE6">
      <w:pPr>
        <w:pStyle w:val="NormalH1"/>
      </w:pPr>
      <w:bookmarkStart w:id="36" w:name="_Toc124848779"/>
      <w:r>
        <w:lastRenderedPageBreak/>
        <w:t xml:space="preserve">4. </w:t>
      </w:r>
      <w:r w:rsidR="007639B5" w:rsidRPr="00EC3EE6">
        <w:t>Characteristics</w:t>
      </w:r>
      <w:r w:rsidR="007639B5" w:rsidRPr="007639B5">
        <w:t xml:space="preserve"> of staff authorised under the PGD</w:t>
      </w:r>
      <w:bookmarkEnd w:id="36"/>
    </w:p>
    <w:p w14:paraId="3C9A2E61" w14:textId="77777777" w:rsidR="00A6610C" w:rsidRDefault="009D1F3E" w:rsidP="009D1F3E">
      <w:pPr>
        <w:pStyle w:val="NormalH2"/>
      </w:pPr>
      <w:r>
        <w:t xml:space="preserve">4.1. </w:t>
      </w:r>
      <w:r w:rsidR="00A6610C" w:rsidRPr="00A6610C">
        <w:t>Professional qualifications</w:t>
      </w:r>
    </w:p>
    <w:p w14:paraId="01F2266B" w14:textId="77777777" w:rsidR="009D1F3E" w:rsidRPr="00703A8C" w:rsidRDefault="009D1F3E" w:rsidP="009D1F3E">
      <w:r w:rsidRPr="00703A8C">
        <w:t>The following classes of registered healthcare practitioners are permitted to administer this vaccine:</w:t>
      </w:r>
    </w:p>
    <w:p w14:paraId="41B88EEB" w14:textId="77777777" w:rsidR="009D1F3E" w:rsidRPr="00703A8C" w:rsidRDefault="009D1F3E" w:rsidP="009D1F3E">
      <w:pPr>
        <w:pStyle w:val="Bullet1"/>
      </w:pPr>
      <w:r w:rsidRPr="00703A8C">
        <w:t>nurses and midwives currently registered with the Nursing and Midwifery Council (NMC)</w:t>
      </w:r>
    </w:p>
    <w:p w14:paraId="604FA21E" w14:textId="70D919C3" w:rsidR="009D1F3E" w:rsidRPr="00703A8C" w:rsidRDefault="009D1F3E" w:rsidP="009D1F3E">
      <w:pPr>
        <w:pStyle w:val="Bullet1"/>
      </w:pPr>
      <w:r w:rsidRPr="00703A8C">
        <w:t xml:space="preserve">pharmacists currently registered with the General Pharmaceutical </w:t>
      </w:r>
      <w:r w:rsidR="00225B4A">
        <w:br/>
      </w:r>
      <w:r w:rsidRPr="00703A8C">
        <w:t>Council (</w:t>
      </w:r>
      <w:proofErr w:type="spellStart"/>
      <w:r w:rsidRPr="00703A8C">
        <w:t>GPhC</w:t>
      </w:r>
      <w:proofErr w:type="spellEnd"/>
      <w:r w:rsidRPr="00703A8C">
        <w:t xml:space="preserve">) </w:t>
      </w:r>
    </w:p>
    <w:p w14:paraId="6A0B3415" w14:textId="77777777" w:rsidR="009D1F3E" w:rsidRPr="00703A8C" w:rsidRDefault="009D1F3E" w:rsidP="009D1F3E">
      <w:pPr>
        <w:pStyle w:val="Bullet1"/>
      </w:pPr>
      <w:r w:rsidRPr="00703A8C">
        <w:t>chiropodists/podiatrists, dieticians, occupational therapists, orthoptists, orthotists/prosthetists, paramedics, physiotherapists, radiographers and speech and language therapists currently registered with the Health and Care Professions Council (HCPC)</w:t>
      </w:r>
    </w:p>
    <w:p w14:paraId="4ADA0C01" w14:textId="53BE4174" w:rsidR="009D1F3E" w:rsidRPr="00703A8C" w:rsidRDefault="009D1F3E" w:rsidP="009D1F3E">
      <w:pPr>
        <w:pStyle w:val="Bullet1"/>
      </w:pPr>
      <w:r w:rsidRPr="00703A8C">
        <w:t xml:space="preserve">dental hygienists and dental therapists registered with the General </w:t>
      </w:r>
      <w:r w:rsidR="00225B4A">
        <w:br/>
      </w:r>
      <w:r w:rsidRPr="00703A8C">
        <w:t>Dental Council</w:t>
      </w:r>
    </w:p>
    <w:p w14:paraId="2A0B5E4D" w14:textId="77777777" w:rsidR="009D1F3E" w:rsidRPr="00703A8C" w:rsidRDefault="009D1F3E" w:rsidP="009D1F3E">
      <w:pPr>
        <w:pStyle w:val="Bullet1"/>
      </w:pPr>
      <w:r w:rsidRPr="00703A8C">
        <w:t>optometrists registered with the General Optical Council.</w:t>
      </w:r>
    </w:p>
    <w:p w14:paraId="112D84F2" w14:textId="77777777" w:rsidR="009336EE" w:rsidRDefault="009D1F3E" w:rsidP="009D1F3E">
      <w:pPr>
        <w:pStyle w:val="NormalH2"/>
      </w:pPr>
      <w:r>
        <w:t xml:space="preserve">4.2. </w:t>
      </w:r>
      <w:r w:rsidR="009336EE">
        <w:t>Specialist competencies or qualifications</w:t>
      </w:r>
    </w:p>
    <w:p w14:paraId="1A51EAA5" w14:textId="77777777" w:rsidR="009336EE" w:rsidRDefault="009336EE" w:rsidP="00637D4B">
      <w:r w:rsidRPr="00A6610C">
        <w:t>Persons must only work under this PGD where they are competent to do so.</w:t>
      </w:r>
    </w:p>
    <w:p w14:paraId="53A36E4B" w14:textId="77777777" w:rsidR="00FF2567" w:rsidRPr="009D1F3E" w:rsidRDefault="00FF2567" w:rsidP="00637D4B">
      <w:pPr>
        <w:rPr>
          <w:rStyle w:val="Bold"/>
        </w:rPr>
      </w:pPr>
      <w:r w:rsidRPr="009D1F3E">
        <w:rPr>
          <w:rStyle w:val="Bold"/>
        </w:rPr>
        <w:t>All persons operating this PGD</w:t>
      </w:r>
      <w:r w:rsidR="00926771">
        <w:rPr>
          <w:rStyle w:val="Bold"/>
        </w:rPr>
        <w:t>:</w:t>
      </w:r>
    </w:p>
    <w:p w14:paraId="3FCB0F7C" w14:textId="2D6266EF" w:rsidR="00AB0667" w:rsidRPr="003C72A7" w:rsidRDefault="00AB0667" w:rsidP="00AB0667">
      <w:pPr>
        <w:pStyle w:val="Bullet1"/>
      </w:pPr>
      <w:r w:rsidRPr="003C72A7">
        <w:t>must be authorised by name by their employer as an approved person under the current terms of this PGD before working to it</w:t>
      </w:r>
      <w:r w:rsidR="00866CAF">
        <w:t>.</w:t>
      </w:r>
    </w:p>
    <w:p w14:paraId="6C1DD286" w14:textId="3313B165" w:rsidR="00AB0667" w:rsidRPr="003C72A7" w:rsidRDefault="00AB0667" w:rsidP="00AB0667">
      <w:pPr>
        <w:pStyle w:val="Bullet1"/>
      </w:pPr>
      <w:r w:rsidRPr="003C72A7">
        <w:t>must be familiar with the vaccine product and alert to changes in the manufacturer</w:t>
      </w:r>
      <w:r w:rsidR="00BE6D89">
        <w:t>’</w:t>
      </w:r>
      <w:r w:rsidRPr="003C72A7">
        <w:t>s product information/summary of product information</w:t>
      </w:r>
      <w:r w:rsidR="00866CAF">
        <w:t>.</w:t>
      </w:r>
    </w:p>
    <w:p w14:paraId="4F224DA6" w14:textId="15894FFA" w:rsidR="00AB0667" w:rsidRPr="003C72A7" w:rsidRDefault="00AB0667" w:rsidP="00AB0667">
      <w:pPr>
        <w:pStyle w:val="Bullet1"/>
      </w:pPr>
      <w:r w:rsidRPr="003C72A7">
        <w:lastRenderedPageBreak/>
        <w:t>must be competent to undertake immunisation and to discuss issues related to immunisation to assess patients for vaccination and obtain consent</w:t>
      </w:r>
      <w:r w:rsidR="00866CAF">
        <w:t>.</w:t>
      </w:r>
    </w:p>
    <w:p w14:paraId="7209B397" w14:textId="4FCDECF5" w:rsidR="00AB0667" w:rsidRPr="003C72A7" w:rsidRDefault="00AB0667" w:rsidP="00AB0667">
      <w:pPr>
        <w:pStyle w:val="Bullet1"/>
      </w:pPr>
      <w:r w:rsidRPr="003C72A7">
        <w:t>must be competent in the correct storage of vaccines and management of the cold chain if receiving, responsible for, or handling the vaccine</w:t>
      </w:r>
      <w:r w:rsidR="00866CAF">
        <w:t>.</w:t>
      </w:r>
    </w:p>
    <w:p w14:paraId="793BA356" w14:textId="2A084341" w:rsidR="00AB0667" w:rsidRPr="003C72A7" w:rsidRDefault="00AB0667" w:rsidP="00AB0667">
      <w:pPr>
        <w:pStyle w:val="Bullet1"/>
      </w:pPr>
      <w:r w:rsidRPr="003C72A7">
        <w:t>must be competent in the recognition and management of anaphylaxis or under the supervision of persons able to respond appropriately to immediate adverse reactions</w:t>
      </w:r>
      <w:r w:rsidR="00866CAF">
        <w:t>.</w:t>
      </w:r>
    </w:p>
    <w:p w14:paraId="7FF60144" w14:textId="1A08DCB2" w:rsidR="00AB0667" w:rsidRPr="003C72A7" w:rsidRDefault="00AB0667" w:rsidP="00AB0667">
      <w:pPr>
        <w:pStyle w:val="Bullet1"/>
      </w:pPr>
      <w:r w:rsidRPr="003C72A7">
        <w:t>must have access to the PGD and associated online resources</w:t>
      </w:r>
      <w:r w:rsidR="00866CAF">
        <w:t>.</w:t>
      </w:r>
    </w:p>
    <w:p w14:paraId="1B9B849E" w14:textId="61076876" w:rsidR="00AB0667" w:rsidRPr="003C72A7" w:rsidRDefault="00AB0667" w:rsidP="00AB0667">
      <w:pPr>
        <w:pStyle w:val="Bullet1"/>
      </w:pPr>
      <w:r w:rsidRPr="003C72A7">
        <w:t>should fulfil any additional requirements defined by local policy</w:t>
      </w:r>
      <w:r w:rsidR="00866CAF">
        <w:t>.</w:t>
      </w:r>
    </w:p>
    <w:p w14:paraId="383B5F11" w14:textId="77777777" w:rsidR="009336EE" w:rsidRPr="00AB0667" w:rsidRDefault="009336EE" w:rsidP="00225B4A">
      <w:pPr>
        <w:pStyle w:val="NormalH3"/>
        <w:rPr>
          <w:rStyle w:val="Bold"/>
        </w:rPr>
      </w:pPr>
      <w:r w:rsidRPr="00225B4A">
        <w:rPr>
          <w:rStyle w:val="Bold"/>
          <w:rFonts w:cstheme="minorBidi"/>
          <w:b/>
        </w:rPr>
        <w:t>Employer</w:t>
      </w:r>
    </w:p>
    <w:p w14:paraId="58BAD575" w14:textId="77777777" w:rsidR="009336EE" w:rsidRPr="007C1BFD" w:rsidRDefault="009336EE" w:rsidP="004019B4">
      <w:r w:rsidRPr="007C1BFD">
        <w:t>The employer is responsible for ensuring that persons have the required knowledge and skills to safely deliver the activity they are employed to provide under this PGD</w:t>
      </w:r>
      <w:r>
        <w:t>.</w:t>
      </w:r>
    </w:p>
    <w:p w14:paraId="129BD1E2" w14:textId="77777777" w:rsidR="009336EE" w:rsidRPr="00A6610C" w:rsidRDefault="009336EE" w:rsidP="004019B4">
      <w:r w:rsidRPr="007C1BFD">
        <w:t>As a minimum, competence requirements stipulated in the PGD must be adhered to.</w:t>
      </w:r>
    </w:p>
    <w:p w14:paraId="7ECF7F8C" w14:textId="77777777" w:rsidR="00A6610C" w:rsidRDefault="00AB0667" w:rsidP="00AB0667">
      <w:pPr>
        <w:pStyle w:val="NormalH2"/>
      </w:pPr>
      <w:r>
        <w:t xml:space="preserve">4.3. </w:t>
      </w:r>
      <w:r w:rsidR="00A6610C" w:rsidRPr="00A6610C">
        <w:t>Continuing education and training</w:t>
      </w:r>
    </w:p>
    <w:p w14:paraId="795D23C1" w14:textId="77777777" w:rsidR="00BD5ED4" w:rsidRDefault="009336EE" w:rsidP="00BD5ED4">
      <w:r w:rsidRPr="00D540D2">
        <w:t>All practitioners operating under the PGD are responsible for ensuring they re</w:t>
      </w:r>
      <w:r>
        <w:t>main up to date with the use of vaccines included</w:t>
      </w:r>
      <w:r w:rsidRPr="00D540D2">
        <w:t>. If any training needs are identified these should be discussed with the individuals in the organisation responsible for authorising individuals to act under this PGD.</w:t>
      </w:r>
    </w:p>
    <w:p w14:paraId="053193BC" w14:textId="77777777" w:rsidR="00BD5ED4" w:rsidRDefault="00BD5ED4">
      <w:r>
        <w:br w:type="page"/>
      </w:r>
    </w:p>
    <w:p w14:paraId="59FD4712" w14:textId="77777777" w:rsidR="007639B5" w:rsidRDefault="00AB0667" w:rsidP="00EC3EE6">
      <w:pPr>
        <w:pStyle w:val="NormalH1"/>
      </w:pPr>
      <w:bookmarkStart w:id="37" w:name="_Toc124848780"/>
      <w:r w:rsidRPr="00AB0667">
        <w:rPr>
          <w:bCs/>
        </w:rPr>
        <w:lastRenderedPageBreak/>
        <w:t>5.</w:t>
      </w:r>
      <w:r>
        <w:t xml:space="preserve"> </w:t>
      </w:r>
      <w:r w:rsidR="007639B5" w:rsidRPr="007639B5">
        <w:t>Audit trail</w:t>
      </w:r>
      <w:bookmarkEnd w:id="37"/>
    </w:p>
    <w:p w14:paraId="649C6B15" w14:textId="77777777" w:rsidR="005F7211" w:rsidRPr="00AB0667" w:rsidRDefault="00A6610C" w:rsidP="004019B4">
      <w:pPr>
        <w:rPr>
          <w:rStyle w:val="Bold"/>
        </w:rPr>
      </w:pPr>
      <w:r w:rsidRPr="00AB0667">
        <w:rPr>
          <w:rStyle w:val="Bold"/>
        </w:rPr>
        <w:t>Record</w:t>
      </w:r>
      <w:r w:rsidR="00F053BB" w:rsidRPr="00AB0667">
        <w:rPr>
          <w:rStyle w:val="Bold"/>
        </w:rPr>
        <w:t xml:space="preserve"> the following information</w:t>
      </w:r>
      <w:r w:rsidR="00AB0667" w:rsidRPr="00AB0667">
        <w:rPr>
          <w:rStyle w:val="Bold"/>
        </w:rPr>
        <w:t>:</w:t>
      </w:r>
    </w:p>
    <w:p w14:paraId="5FC4F3E5" w14:textId="77777777" w:rsidR="00AB0667" w:rsidRPr="006F0E43" w:rsidRDefault="00AB0667" w:rsidP="00AB0667">
      <w:pPr>
        <w:pStyle w:val="Bullet1"/>
      </w:pPr>
      <w:r w:rsidRPr="006F0E43">
        <w:t>valid informed consent was given</w:t>
      </w:r>
    </w:p>
    <w:p w14:paraId="21CD8E48" w14:textId="77777777" w:rsidR="00AB0667" w:rsidRPr="006F0E43" w:rsidRDefault="00AB0667" w:rsidP="00AB0667">
      <w:pPr>
        <w:pStyle w:val="Bullet1"/>
      </w:pPr>
      <w:r w:rsidRPr="006F0E43">
        <w:t>name of individual, address, date of birth and GP with whom the individual is registered if possible</w:t>
      </w:r>
    </w:p>
    <w:p w14:paraId="65D81DD2" w14:textId="77777777" w:rsidR="00AB0667" w:rsidRPr="006F0E43" w:rsidRDefault="00AB0667" w:rsidP="00AB0667">
      <w:pPr>
        <w:pStyle w:val="Bullet1"/>
      </w:pPr>
      <w:r w:rsidRPr="006F0E43">
        <w:t>name of person that undertook assessment of individual’s clinical suitability and subsequently administered the vaccine</w:t>
      </w:r>
    </w:p>
    <w:p w14:paraId="2EFCEDF0" w14:textId="77777777" w:rsidR="00AB0667" w:rsidRPr="006F0E43" w:rsidRDefault="00AB0667" w:rsidP="00AB0667">
      <w:pPr>
        <w:pStyle w:val="Bullet1"/>
      </w:pPr>
      <w:r w:rsidRPr="006F0E43">
        <w:t>name and brand of vaccine</w:t>
      </w:r>
    </w:p>
    <w:p w14:paraId="3840D233" w14:textId="77777777" w:rsidR="00AB0667" w:rsidRPr="006F0E43" w:rsidRDefault="00AB0667" w:rsidP="00AB0667">
      <w:pPr>
        <w:pStyle w:val="Bullet1"/>
      </w:pPr>
      <w:r w:rsidRPr="006F0E43">
        <w:t>date of administration</w:t>
      </w:r>
    </w:p>
    <w:p w14:paraId="29CCC958" w14:textId="77777777" w:rsidR="00AB0667" w:rsidRPr="006F0E43" w:rsidRDefault="00AB0667" w:rsidP="00AB0667">
      <w:pPr>
        <w:pStyle w:val="Bullet1"/>
      </w:pPr>
      <w:r w:rsidRPr="006F0E43">
        <w:t>dose, form and route of administration of vaccine</w:t>
      </w:r>
    </w:p>
    <w:p w14:paraId="3054EE24" w14:textId="77777777" w:rsidR="00AB0667" w:rsidRPr="006F0E43" w:rsidRDefault="00AB0667" w:rsidP="00AB0667">
      <w:pPr>
        <w:pStyle w:val="Bullet1"/>
      </w:pPr>
      <w:r w:rsidRPr="006F0E43">
        <w:t>batch number</w:t>
      </w:r>
    </w:p>
    <w:p w14:paraId="4540A542" w14:textId="77777777" w:rsidR="00AB0667" w:rsidRPr="006F0E43" w:rsidRDefault="00AB0667" w:rsidP="00AB0667">
      <w:pPr>
        <w:pStyle w:val="Bullet1"/>
      </w:pPr>
      <w:r w:rsidRPr="006F0E43">
        <w:t>where possible expiry date</w:t>
      </w:r>
    </w:p>
    <w:p w14:paraId="5C10A812" w14:textId="77777777" w:rsidR="00AB0667" w:rsidRPr="006F0E43" w:rsidRDefault="00AB0667" w:rsidP="00AB0667">
      <w:pPr>
        <w:pStyle w:val="Bullet1"/>
      </w:pPr>
      <w:r w:rsidRPr="006F0E43">
        <w:t>anatomical site of vaccination</w:t>
      </w:r>
    </w:p>
    <w:p w14:paraId="060CA53E" w14:textId="77777777" w:rsidR="00AB0667" w:rsidRPr="006F0E43" w:rsidRDefault="00AB0667" w:rsidP="00AB0667">
      <w:pPr>
        <w:pStyle w:val="Bullet1"/>
      </w:pPr>
      <w:r w:rsidRPr="006F0E43">
        <w:t>advice given, including advice given if excluded or declines immunisation</w:t>
      </w:r>
    </w:p>
    <w:p w14:paraId="2E2BE1D0" w14:textId="77777777" w:rsidR="00AB0667" w:rsidRPr="006F0E43" w:rsidRDefault="00AB0667" w:rsidP="00AB0667">
      <w:pPr>
        <w:pStyle w:val="Bullet1"/>
      </w:pPr>
      <w:r w:rsidRPr="006F0E43">
        <w:t>details of any adverse drug reactions and actions taken</w:t>
      </w:r>
    </w:p>
    <w:p w14:paraId="6482BB6E" w14:textId="77777777" w:rsidR="00AB0667" w:rsidRPr="006F0E43" w:rsidRDefault="00AB0667" w:rsidP="00AB0667">
      <w:pPr>
        <w:pStyle w:val="Bullet1"/>
      </w:pPr>
      <w:r w:rsidRPr="006F0E43">
        <w:t>administered under PGD</w:t>
      </w:r>
    </w:p>
    <w:p w14:paraId="065D671F" w14:textId="51D19EFF" w:rsidR="00AB0667" w:rsidRPr="006F0E43" w:rsidRDefault="00B35497" w:rsidP="00B35497">
      <w:r>
        <w:t>R</w:t>
      </w:r>
      <w:r w:rsidR="00AB0667" w:rsidRPr="006F0E43">
        <w:t>ecords should be kept in line with local procedures</w:t>
      </w:r>
    </w:p>
    <w:p w14:paraId="4849C2EA" w14:textId="7401A413" w:rsidR="00AB0667" w:rsidRPr="007C1BFD" w:rsidRDefault="00B35497" w:rsidP="00B35497">
      <w:r>
        <w:t>L</w:t>
      </w:r>
      <w:r w:rsidR="00AB0667" w:rsidRPr="006F0E43">
        <w:t>ocal policy should be followed to encourage information sharing with the individual’s General Practice</w:t>
      </w:r>
    </w:p>
    <w:p w14:paraId="50C75CC1" w14:textId="11967937" w:rsidR="005F7211" w:rsidRPr="00A6610C" w:rsidRDefault="00AB0667" w:rsidP="00AB0667">
      <w:r w:rsidRPr="009D3CD6">
        <w:t xml:space="preserve">All records should be clear, legible and contemporaneous and in an easily </w:t>
      </w:r>
      <w:r w:rsidR="00225B4A">
        <w:br/>
      </w:r>
      <w:r w:rsidRPr="009D3CD6">
        <w:t>retrievable format.</w:t>
      </w:r>
    </w:p>
    <w:p w14:paraId="0B3E387A" w14:textId="77777777" w:rsidR="00814B11" w:rsidRDefault="00926771" w:rsidP="00926771">
      <w:pPr>
        <w:pStyle w:val="NormalH1"/>
      </w:pPr>
      <w:bookmarkStart w:id="38" w:name="_Toc124848781"/>
      <w:r>
        <w:lastRenderedPageBreak/>
        <w:t xml:space="preserve">6. </w:t>
      </w:r>
      <w:r w:rsidR="007639B5" w:rsidRPr="007639B5">
        <w:t>Additional references</w:t>
      </w:r>
      <w:bookmarkEnd w:id="38"/>
    </w:p>
    <w:p w14:paraId="1FFBA29B" w14:textId="77777777" w:rsidR="002B47F8" w:rsidRPr="00F658CB" w:rsidRDefault="00F4790A" w:rsidP="002B47F8">
      <w:pPr>
        <w:pStyle w:val="Bullet1"/>
      </w:pPr>
      <w:hyperlink r:id="rId46" w:history="1">
        <w:r w:rsidR="002B47F8">
          <w:rPr>
            <w:rStyle w:val="Hyperlink"/>
          </w:rPr>
          <w:t>Immunisation against Infectious Disease [Green Book]</w:t>
        </w:r>
      </w:hyperlink>
      <w:r w:rsidR="002B47F8">
        <w:rPr>
          <w:rStyle w:val="Hyperlink"/>
        </w:rPr>
        <w:t>.</w:t>
      </w:r>
    </w:p>
    <w:p w14:paraId="1399D786" w14:textId="77777777" w:rsidR="002B47F8" w:rsidRDefault="00F4790A" w:rsidP="002B47F8">
      <w:pPr>
        <w:pStyle w:val="Bullet1"/>
      </w:pPr>
      <w:hyperlink r:id="rId47" w:history="1">
        <w:r w:rsidR="002B47F8">
          <w:rPr>
            <w:rStyle w:val="Hyperlink"/>
          </w:rPr>
          <w:t>Immunisation against Infectious Disease [Green Book] chapter 21</w:t>
        </w:r>
      </w:hyperlink>
      <w:r w:rsidR="002B47F8">
        <w:rPr>
          <w:rStyle w:val="Hyperlink"/>
        </w:rPr>
        <w:t>.</w:t>
      </w:r>
    </w:p>
    <w:p w14:paraId="0FEDE089" w14:textId="77777777" w:rsidR="002B47F8" w:rsidRDefault="00F4790A" w:rsidP="002B47F8">
      <w:pPr>
        <w:pStyle w:val="Bullet1"/>
      </w:pPr>
      <w:hyperlink r:id="rId48" w:history="1">
        <w:r w:rsidR="002B47F8">
          <w:rPr>
            <w:rStyle w:val="Hyperlink"/>
          </w:rPr>
          <w:t>Immunisation against Infectious Disease [Green Book] chapter 23</w:t>
        </w:r>
      </w:hyperlink>
      <w:r w:rsidR="002B47F8">
        <w:rPr>
          <w:rStyle w:val="Hyperlink"/>
        </w:rPr>
        <w:t>.</w:t>
      </w:r>
    </w:p>
    <w:p w14:paraId="33CBABBB" w14:textId="77777777" w:rsidR="002B47F8" w:rsidRPr="0099488F" w:rsidRDefault="00F4790A" w:rsidP="002B47F8">
      <w:pPr>
        <w:pStyle w:val="Bullet1"/>
        <w:rPr>
          <w:rStyle w:val="Hyperlink"/>
          <w:b w:val="0"/>
          <w:bCs w:val="0"/>
          <w:color w:val="262626" w:themeColor="text1" w:themeTint="D9"/>
        </w:rPr>
      </w:pPr>
      <w:hyperlink r:id="rId49" w:history="1">
        <w:r w:rsidR="002B47F8">
          <w:rPr>
            <w:rStyle w:val="Hyperlink"/>
          </w:rPr>
          <w:t>Immunisation against Infectious Disease [Green Book] chapter 28</w:t>
        </w:r>
      </w:hyperlink>
      <w:r w:rsidR="002B47F8">
        <w:rPr>
          <w:rStyle w:val="Hyperlink"/>
        </w:rPr>
        <w:t>.</w:t>
      </w:r>
    </w:p>
    <w:p w14:paraId="28F26871" w14:textId="77777777" w:rsidR="002B47F8" w:rsidRPr="00F658CB" w:rsidRDefault="002B47F8" w:rsidP="002B47F8">
      <w:pPr>
        <w:pStyle w:val="Bullet1"/>
      </w:pPr>
      <w:r w:rsidRPr="00F658CB">
        <w:t>Current editio</w:t>
      </w:r>
      <w:r>
        <w:t>n of British National Formulary.</w:t>
      </w:r>
    </w:p>
    <w:p w14:paraId="769D7B4F" w14:textId="77777777" w:rsidR="002B47F8" w:rsidRPr="00F658CB" w:rsidRDefault="002B47F8" w:rsidP="002B47F8">
      <w:pPr>
        <w:pStyle w:val="Bullet1"/>
      </w:pPr>
      <w:r w:rsidRPr="00F658CB">
        <w:t>Marketing authorisation holder’s Summary of Product Characteristics.</w:t>
      </w:r>
    </w:p>
    <w:p w14:paraId="129071C0" w14:textId="77777777" w:rsidR="002B47F8" w:rsidRPr="00F658CB" w:rsidRDefault="002B47F8" w:rsidP="002B47F8">
      <w:pPr>
        <w:pStyle w:val="Bullet1"/>
      </w:pPr>
      <w:r w:rsidRPr="00F658CB">
        <w:t>All relevant Scottish Government Health Directorate advice including the relevant CMO letter(s).</w:t>
      </w:r>
    </w:p>
    <w:p w14:paraId="4A688387" w14:textId="77777777" w:rsidR="002B47F8" w:rsidRPr="00F658CB" w:rsidRDefault="00F4790A" w:rsidP="002B47F8">
      <w:pPr>
        <w:pStyle w:val="Bullet1"/>
      </w:pPr>
      <w:hyperlink r:id="rId50" w:history="1">
        <w:r w:rsidR="002B47F8">
          <w:rPr>
            <w:rStyle w:val="Hyperlink"/>
          </w:rPr>
          <w:t>Professional Guidance on the Administration of Medicines in Healthcare Settings 2019</w:t>
        </w:r>
      </w:hyperlink>
      <w:r w:rsidR="002B47F8">
        <w:rPr>
          <w:rStyle w:val="Hyperlink"/>
        </w:rPr>
        <w:t>.</w:t>
      </w:r>
      <w:r w:rsidR="002B47F8" w:rsidRPr="00F658CB">
        <w:t xml:space="preserve"> </w:t>
      </w:r>
    </w:p>
    <w:p w14:paraId="268AB566" w14:textId="77777777" w:rsidR="002B47F8" w:rsidRDefault="00F4790A" w:rsidP="002B47F8">
      <w:pPr>
        <w:pStyle w:val="Bullet1"/>
        <w:rPr>
          <w:rStyle w:val="Hyperlink"/>
        </w:rPr>
      </w:pPr>
      <w:hyperlink r:id="rId51" w:history="1">
        <w:r w:rsidR="002B47F8">
          <w:rPr>
            <w:rStyle w:val="Hyperlink"/>
          </w:rPr>
          <w:t>Professional Guidance on the Safe and Secure Handling of Medicines</w:t>
        </w:r>
      </w:hyperlink>
      <w:r w:rsidR="002B47F8">
        <w:rPr>
          <w:rStyle w:val="Hyperlink"/>
        </w:rPr>
        <w:t>.</w:t>
      </w:r>
    </w:p>
    <w:p w14:paraId="1126A3D1" w14:textId="1991826A" w:rsidR="001E23BC" w:rsidRDefault="00F4790A" w:rsidP="002B47F8">
      <w:pPr>
        <w:pStyle w:val="Bullet1"/>
        <w:rPr>
          <w:rStyle w:val="Hyperlink"/>
        </w:rPr>
      </w:pPr>
      <w:hyperlink r:id="rId52" w:history="1">
        <w:r w:rsidR="001E23BC" w:rsidRPr="001E23BC">
          <w:rPr>
            <w:rStyle w:val="Hyperlink"/>
          </w:rPr>
          <w:t>UKHSA National measles guidelines</w:t>
        </w:r>
      </w:hyperlink>
    </w:p>
    <w:p w14:paraId="69E3A372" w14:textId="77777777" w:rsidR="00DA1C5F" w:rsidRDefault="00DA1C5F" w:rsidP="00AB0667">
      <w:pPr>
        <w:pStyle w:val="Bullet1"/>
      </w:pPr>
      <w:r>
        <w:br w:type="page"/>
      </w:r>
    </w:p>
    <w:p w14:paraId="5BD4A7C3" w14:textId="7C6A750A" w:rsidR="00315C75" w:rsidRPr="00315C75" w:rsidRDefault="00AB0667" w:rsidP="00315C75">
      <w:pPr>
        <w:pStyle w:val="NormalH1"/>
      </w:pPr>
      <w:r w:rsidRPr="00315C75">
        <w:lastRenderedPageBreak/>
        <w:t xml:space="preserve">7. </w:t>
      </w:r>
      <w:bookmarkStart w:id="39" w:name="_Toc124848782"/>
      <w:r w:rsidR="007639B5" w:rsidRPr="00315C75">
        <w:t xml:space="preserve">PGD for administration </w:t>
      </w:r>
      <w:bookmarkEnd w:id="39"/>
      <w:r w:rsidRPr="00315C75">
        <w:t xml:space="preserve">of </w:t>
      </w:r>
      <w:r w:rsidR="00315C75" w:rsidRPr="00315C75">
        <w:t>measles, mumps and rubella vaccine V</w:t>
      </w:r>
      <w:r w:rsidR="00B463B8">
        <w:t>2.1</w:t>
      </w:r>
      <w:r w:rsidR="00315C75" w:rsidRPr="00315C75">
        <w:t xml:space="preserve"> (valid from 1 </w:t>
      </w:r>
      <w:r w:rsidR="007B4E57">
        <w:t>March</w:t>
      </w:r>
      <w:r w:rsidR="00315C75" w:rsidRPr="00315C75">
        <w:t xml:space="preserve"> 202</w:t>
      </w:r>
      <w:r w:rsidR="00CE07C6">
        <w:t>4</w:t>
      </w:r>
      <w:r w:rsidR="00315C75" w:rsidRPr="00315C75">
        <w:t xml:space="preserve"> and expires </w:t>
      </w:r>
      <w:r w:rsidR="007B4E57">
        <w:t>28 February</w:t>
      </w:r>
      <w:r w:rsidR="00315C75" w:rsidRPr="00315C75">
        <w:t xml:space="preserve"> 202</w:t>
      </w:r>
      <w:r w:rsidR="00CE07C6">
        <w:t>6</w:t>
      </w:r>
      <w:r w:rsidR="00315C75" w:rsidRPr="00315C75">
        <w:t>): authorisation</w:t>
      </w:r>
    </w:p>
    <w:p w14:paraId="3BE61F36" w14:textId="0834D31D" w:rsidR="008F428A" w:rsidRDefault="008F428A" w:rsidP="00225B4A">
      <w:pPr>
        <w:pStyle w:val="NormalH2"/>
      </w:pPr>
      <w:r w:rsidRPr="008F428A">
        <w:t>Practitioner</w:t>
      </w:r>
    </w:p>
    <w:p w14:paraId="06481E6E" w14:textId="77777777" w:rsidR="00E573E0" w:rsidRDefault="00E573E0" w:rsidP="00577E32">
      <w:r w:rsidRPr="00B47942">
        <w:t>This PGD does not remove professional obligations and accountability. It is the responsibility of each professional to practice within the bounds of their own competence and in accordance with their Code of Professional Conduct and to ensure familiarity with the marketing authorisation holder’s summary of product characteristics for all vaccines administered in accordance with this PGD.</w:t>
      </w:r>
    </w:p>
    <w:p w14:paraId="3E9A43CF" w14:textId="77777777" w:rsidR="00866CAF" w:rsidRDefault="00E573E0" w:rsidP="00E573E0">
      <w:r w:rsidRPr="007209C7">
        <w:t>By signing this P</w:t>
      </w:r>
      <w:r>
        <w:t xml:space="preserve">atient </w:t>
      </w:r>
      <w:r w:rsidRPr="007209C7">
        <w:t>G</w:t>
      </w:r>
      <w:r>
        <w:t xml:space="preserve">roup </w:t>
      </w:r>
      <w:r w:rsidRPr="007209C7">
        <w:t>D</w:t>
      </w:r>
      <w:r>
        <w:t>irection</w:t>
      </w:r>
      <w:r w:rsidR="004C0891">
        <w:t>,</w:t>
      </w:r>
      <w:r w:rsidRPr="007209C7">
        <w:t xml:space="preserve"> you are indicating that you agree to its contents and that you will work within it.</w:t>
      </w:r>
      <w:r>
        <w:t xml:space="preserve"> </w:t>
      </w:r>
    </w:p>
    <w:p w14:paraId="17C42433" w14:textId="743F61DD" w:rsidR="00E573E0" w:rsidRPr="00B47942" w:rsidRDefault="00E573E0" w:rsidP="00E573E0">
      <w:r w:rsidRPr="00B47942">
        <w:t>I agree to administer</w:t>
      </w:r>
      <w:r>
        <w:t xml:space="preserve"> </w:t>
      </w:r>
      <w:r w:rsidR="00315C75">
        <w:t>measles, mumps and rubella vaccine</w:t>
      </w:r>
      <w:r w:rsidRPr="001F0D60">
        <w:t xml:space="preserve"> </w:t>
      </w:r>
      <w:r w:rsidRPr="00B47942">
        <w:t>only in accordance with this PGD.</w:t>
      </w:r>
    </w:p>
    <w:tbl>
      <w:tblPr>
        <w:tblStyle w:val="TableGrid"/>
        <w:tblW w:w="0" w:type="auto"/>
        <w:tblLook w:val="04A0" w:firstRow="1" w:lastRow="0" w:firstColumn="1" w:lastColumn="0" w:noHBand="0" w:noVBand="1"/>
      </w:tblPr>
      <w:tblGrid>
        <w:gridCol w:w="3560"/>
        <w:gridCol w:w="3392"/>
        <w:gridCol w:w="2108"/>
      </w:tblGrid>
      <w:tr w:rsidR="002A368C" w:rsidRPr="002A368C" w14:paraId="6BCF9AD3" w14:textId="77777777" w:rsidTr="00A456A9">
        <w:trPr>
          <w:cnfStyle w:val="100000000000" w:firstRow="1" w:lastRow="0" w:firstColumn="0" w:lastColumn="0" w:oddVBand="0" w:evenVBand="0" w:oddHBand="0" w:evenHBand="0" w:firstRowFirstColumn="0" w:firstRowLastColumn="0" w:lastRowFirstColumn="0" w:lastRowLastColumn="0"/>
        </w:trPr>
        <w:tc>
          <w:tcPr>
            <w:tcW w:w="3560" w:type="dxa"/>
          </w:tcPr>
          <w:p w14:paraId="5AAD81E1" w14:textId="77777777" w:rsidR="002A368C" w:rsidRPr="002A368C" w:rsidRDefault="002A368C" w:rsidP="002A368C">
            <w:pPr>
              <w:pStyle w:val="TableHead"/>
            </w:pPr>
            <w:r w:rsidRPr="002A368C">
              <w:t>Name of professional</w:t>
            </w:r>
          </w:p>
        </w:tc>
        <w:tc>
          <w:tcPr>
            <w:tcW w:w="3392" w:type="dxa"/>
          </w:tcPr>
          <w:p w14:paraId="4D5C8E45" w14:textId="77777777" w:rsidR="002A368C" w:rsidRPr="002A368C" w:rsidRDefault="002A368C" w:rsidP="002A368C">
            <w:pPr>
              <w:pStyle w:val="TableHead"/>
            </w:pPr>
            <w:r w:rsidRPr="002A368C">
              <w:t>Signature</w:t>
            </w:r>
          </w:p>
        </w:tc>
        <w:tc>
          <w:tcPr>
            <w:tcW w:w="2108" w:type="dxa"/>
          </w:tcPr>
          <w:p w14:paraId="72CADEBB" w14:textId="77777777" w:rsidR="002A368C" w:rsidRPr="002A368C" w:rsidRDefault="002A368C" w:rsidP="002A368C">
            <w:pPr>
              <w:pStyle w:val="TableHead"/>
            </w:pPr>
            <w:r w:rsidRPr="002A368C">
              <w:t>Date</w:t>
            </w:r>
          </w:p>
        </w:tc>
      </w:tr>
      <w:tr w:rsidR="002A368C" w:rsidRPr="002A368C" w14:paraId="0425FFEE" w14:textId="77777777" w:rsidTr="00A456A9">
        <w:tblPrEx>
          <w:tblCellMar>
            <w:top w:w="0" w:type="dxa"/>
            <w:bottom w:w="0" w:type="dxa"/>
          </w:tblCellMar>
        </w:tblPrEx>
        <w:tc>
          <w:tcPr>
            <w:tcW w:w="3560" w:type="dxa"/>
          </w:tcPr>
          <w:p w14:paraId="16738A44" w14:textId="77777777" w:rsidR="002A368C" w:rsidRPr="002A368C" w:rsidRDefault="002A368C" w:rsidP="002A368C">
            <w:pPr>
              <w:pStyle w:val="TableBody"/>
            </w:pPr>
          </w:p>
        </w:tc>
        <w:tc>
          <w:tcPr>
            <w:tcW w:w="3392" w:type="dxa"/>
          </w:tcPr>
          <w:p w14:paraId="698BFEAF" w14:textId="77777777" w:rsidR="002A368C" w:rsidRPr="002A368C" w:rsidRDefault="002A368C" w:rsidP="002A368C">
            <w:pPr>
              <w:pStyle w:val="TableBody"/>
            </w:pPr>
          </w:p>
        </w:tc>
        <w:tc>
          <w:tcPr>
            <w:tcW w:w="2108" w:type="dxa"/>
          </w:tcPr>
          <w:p w14:paraId="3AB67151" w14:textId="77777777" w:rsidR="002A368C" w:rsidRPr="002A368C" w:rsidRDefault="002A368C" w:rsidP="002A368C">
            <w:pPr>
              <w:pStyle w:val="TableBody"/>
            </w:pPr>
          </w:p>
        </w:tc>
      </w:tr>
      <w:tr w:rsidR="008C552F" w:rsidRPr="002A368C" w14:paraId="094FF34C" w14:textId="77777777" w:rsidTr="00A456A9">
        <w:tblPrEx>
          <w:tblCellMar>
            <w:top w:w="0" w:type="dxa"/>
            <w:bottom w:w="0" w:type="dxa"/>
          </w:tblCellMar>
        </w:tblPrEx>
        <w:tc>
          <w:tcPr>
            <w:tcW w:w="3560" w:type="dxa"/>
          </w:tcPr>
          <w:p w14:paraId="40D7F639" w14:textId="77777777" w:rsidR="008C552F" w:rsidRPr="002A368C" w:rsidRDefault="008C552F" w:rsidP="002A368C">
            <w:pPr>
              <w:pStyle w:val="TableBody"/>
            </w:pPr>
          </w:p>
        </w:tc>
        <w:tc>
          <w:tcPr>
            <w:tcW w:w="3392" w:type="dxa"/>
          </w:tcPr>
          <w:p w14:paraId="380DBB5B" w14:textId="77777777" w:rsidR="008C552F" w:rsidRPr="002A368C" w:rsidRDefault="008C552F" w:rsidP="002A368C">
            <w:pPr>
              <w:pStyle w:val="TableBody"/>
            </w:pPr>
          </w:p>
        </w:tc>
        <w:tc>
          <w:tcPr>
            <w:tcW w:w="2108" w:type="dxa"/>
          </w:tcPr>
          <w:p w14:paraId="01D952F3" w14:textId="77777777" w:rsidR="008C552F" w:rsidRPr="002A368C" w:rsidRDefault="008C552F" w:rsidP="002A368C">
            <w:pPr>
              <w:pStyle w:val="TableBody"/>
            </w:pPr>
          </w:p>
        </w:tc>
      </w:tr>
      <w:tr w:rsidR="008C552F" w:rsidRPr="002A368C" w14:paraId="7ED7D455" w14:textId="77777777" w:rsidTr="00A456A9">
        <w:tblPrEx>
          <w:tblCellMar>
            <w:top w:w="0" w:type="dxa"/>
            <w:bottom w:w="0" w:type="dxa"/>
          </w:tblCellMar>
        </w:tblPrEx>
        <w:tc>
          <w:tcPr>
            <w:tcW w:w="3560" w:type="dxa"/>
          </w:tcPr>
          <w:p w14:paraId="5B3554DF" w14:textId="77777777" w:rsidR="008C552F" w:rsidRPr="002A368C" w:rsidRDefault="008C552F" w:rsidP="002A368C">
            <w:pPr>
              <w:pStyle w:val="TableBody"/>
            </w:pPr>
          </w:p>
        </w:tc>
        <w:tc>
          <w:tcPr>
            <w:tcW w:w="3392" w:type="dxa"/>
          </w:tcPr>
          <w:p w14:paraId="2805CA91" w14:textId="77777777" w:rsidR="008C552F" w:rsidRPr="002A368C" w:rsidRDefault="008C552F" w:rsidP="002A368C">
            <w:pPr>
              <w:pStyle w:val="TableBody"/>
            </w:pPr>
          </w:p>
        </w:tc>
        <w:tc>
          <w:tcPr>
            <w:tcW w:w="2108" w:type="dxa"/>
          </w:tcPr>
          <w:p w14:paraId="0138E5E3" w14:textId="77777777" w:rsidR="008C552F" w:rsidRPr="002A368C" w:rsidRDefault="008C552F" w:rsidP="002A368C">
            <w:pPr>
              <w:pStyle w:val="TableBody"/>
            </w:pPr>
          </w:p>
        </w:tc>
      </w:tr>
      <w:tr w:rsidR="008C552F" w:rsidRPr="002A368C" w14:paraId="61CD3507" w14:textId="77777777" w:rsidTr="00A456A9">
        <w:tblPrEx>
          <w:tblCellMar>
            <w:top w:w="0" w:type="dxa"/>
            <w:bottom w:w="0" w:type="dxa"/>
          </w:tblCellMar>
        </w:tblPrEx>
        <w:tc>
          <w:tcPr>
            <w:tcW w:w="3560" w:type="dxa"/>
          </w:tcPr>
          <w:p w14:paraId="38F9BACA" w14:textId="77777777" w:rsidR="008C552F" w:rsidRPr="002A368C" w:rsidRDefault="008C552F" w:rsidP="002A368C">
            <w:pPr>
              <w:pStyle w:val="TableBody"/>
            </w:pPr>
          </w:p>
        </w:tc>
        <w:tc>
          <w:tcPr>
            <w:tcW w:w="3392" w:type="dxa"/>
          </w:tcPr>
          <w:p w14:paraId="5F7FAAC7" w14:textId="77777777" w:rsidR="008C552F" w:rsidRPr="002A368C" w:rsidRDefault="008C552F" w:rsidP="002A368C">
            <w:pPr>
              <w:pStyle w:val="TableBody"/>
            </w:pPr>
          </w:p>
        </w:tc>
        <w:tc>
          <w:tcPr>
            <w:tcW w:w="2108" w:type="dxa"/>
          </w:tcPr>
          <w:p w14:paraId="3FC77480" w14:textId="77777777" w:rsidR="008C552F" w:rsidRPr="002A368C" w:rsidRDefault="008C552F" w:rsidP="002A368C">
            <w:pPr>
              <w:pStyle w:val="TableBody"/>
            </w:pPr>
          </w:p>
        </w:tc>
      </w:tr>
      <w:tr w:rsidR="008C552F" w:rsidRPr="002A368C" w14:paraId="64EE1987" w14:textId="77777777" w:rsidTr="00A456A9">
        <w:tblPrEx>
          <w:tblCellMar>
            <w:top w:w="0" w:type="dxa"/>
            <w:bottom w:w="0" w:type="dxa"/>
          </w:tblCellMar>
        </w:tblPrEx>
        <w:tc>
          <w:tcPr>
            <w:tcW w:w="3560" w:type="dxa"/>
          </w:tcPr>
          <w:p w14:paraId="18784847" w14:textId="77777777" w:rsidR="008C552F" w:rsidRPr="002A368C" w:rsidRDefault="008C552F" w:rsidP="002A368C">
            <w:pPr>
              <w:pStyle w:val="TableBody"/>
            </w:pPr>
          </w:p>
        </w:tc>
        <w:tc>
          <w:tcPr>
            <w:tcW w:w="3392" w:type="dxa"/>
          </w:tcPr>
          <w:p w14:paraId="59799380" w14:textId="77777777" w:rsidR="008C552F" w:rsidRPr="002A368C" w:rsidRDefault="008C552F" w:rsidP="002A368C">
            <w:pPr>
              <w:pStyle w:val="TableBody"/>
            </w:pPr>
          </w:p>
        </w:tc>
        <w:tc>
          <w:tcPr>
            <w:tcW w:w="2108" w:type="dxa"/>
          </w:tcPr>
          <w:p w14:paraId="281C68D2" w14:textId="77777777" w:rsidR="008C552F" w:rsidRPr="002A368C" w:rsidRDefault="008C552F" w:rsidP="002A368C">
            <w:pPr>
              <w:pStyle w:val="TableBody"/>
            </w:pPr>
          </w:p>
        </w:tc>
      </w:tr>
      <w:tr w:rsidR="002A368C" w:rsidRPr="002A368C" w14:paraId="0AD42FB1" w14:textId="77777777" w:rsidTr="00A456A9">
        <w:tblPrEx>
          <w:tblCellMar>
            <w:top w:w="0" w:type="dxa"/>
            <w:bottom w:w="0" w:type="dxa"/>
          </w:tblCellMar>
        </w:tblPrEx>
        <w:tc>
          <w:tcPr>
            <w:tcW w:w="3560" w:type="dxa"/>
          </w:tcPr>
          <w:p w14:paraId="1D5636B2" w14:textId="77777777" w:rsidR="002A368C" w:rsidRPr="002A368C" w:rsidRDefault="002A368C" w:rsidP="002A368C">
            <w:pPr>
              <w:pStyle w:val="TableBody"/>
            </w:pPr>
          </w:p>
        </w:tc>
        <w:tc>
          <w:tcPr>
            <w:tcW w:w="3392" w:type="dxa"/>
          </w:tcPr>
          <w:p w14:paraId="0F7D1EA9" w14:textId="77777777" w:rsidR="002A368C" w:rsidRPr="002A368C" w:rsidRDefault="002A368C" w:rsidP="002A368C">
            <w:pPr>
              <w:pStyle w:val="TableBody"/>
            </w:pPr>
          </w:p>
        </w:tc>
        <w:tc>
          <w:tcPr>
            <w:tcW w:w="2108" w:type="dxa"/>
          </w:tcPr>
          <w:p w14:paraId="4E0E049F" w14:textId="77777777" w:rsidR="002A368C" w:rsidRPr="002A368C" w:rsidRDefault="002A368C" w:rsidP="002A368C">
            <w:pPr>
              <w:pStyle w:val="TableBody"/>
            </w:pPr>
          </w:p>
        </w:tc>
      </w:tr>
      <w:tr w:rsidR="002A368C" w:rsidRPr="002A368C" w14:paraId="1F66DCCD" w14:textId="77777777" w:rsidTr="00A456A9">
        <w:tblPrEx>
          <w:tblCellMar>
            <w:top w:w="0" w:type="dxa"/>
            <w:bottom w:w="0" w:type="dxa"/>
          </w:tblCellMar>
        </w:tblPrEx>
        <w:tc>
          <w:tcPr>
            <w:tcW w:w="3560" w:type="dxa"/>
          </w:tcPr>
          <w:p w14:paraId="09364A4F" w14:textId="77777777" w:rsidR="002A368C" w:rsidRPr="002A368C" w:rsidRDefault="002A368C" w:rsidP="002A368C">
            <w:pPr>
              <w:pStyle w:val="TableBody"/>
            </w:pPr>
          </w:p>
        </w:tc>
        <w:tc>
          <w:tcPr>
            <w:tcW w:w="3392" w:type="dxa"/>
          </w:tcPr>
          <w:p w14:paraId="02CD643D" w14:textId="77777777" w:rsidR="002A368C" w:rsidRPr="002A368C" w:rsidRDefault="002A368C" w:rsidP="002A368C">
            <w:pPr>
              <w:pStyle w:val="TableBody"/>
            </w:pPr>
          </w:p>
        </w:tc>
        <w:tc>
          <w:tcPr>
            <w:tcW w:w="2108" w:type="dxa"/>
          </w:tcPr>
          <w:p w14:paraId="1C8B19BB" w14:textId="77777777" w:rsidR="002A368C" w:rsidRPr="002A368C" w:rsidRDefault="002A368C" w:rsidP="002A368C">
            <w:pPr>
              <w:pStyle w:val="TableBody"/>
            </w:pPr>
          </w:p>
        </w:tc>
      </w:tr>
      <w:tr w:rsidR="002A368C" w:rsidRPr="002A368C" w14:paraId="6714C684" w14:textId="77777777" w:rsidTr="00A456A9">
        <w:tblPrEx>
          <w:tblCellMar>
            <w:top w:w="0" w:type="dxa"/>
            <w:bottom w:w="0" w:type="dxa"/>
          </w:tblCellMar>
        </w:tblPrEx>
        <w:tc>
          <w:tcPr>
            <w:tcW w:w="3560" w:type="dxa"/>
          </w:tcPr>
          <w:p w14:paraId="483161FD" w14:textId="77777777" w:rsidR="002A368C" w:rsidRPr="002A368C" w:rsidRDefault="002A368C" w:rsidP="002A368C">
            <w:pPr>
              <w:pStyle w:val="TableBody"/>
            </w:pPr>
          </w:p>
        </w:tc>
        <w:tc>
          <w:tcPr>
            <w:tcW w:w="3392" w:type="dxa"/>
          </w:tcPr>
          <w:p w14:paraId="2989059F" w14:textId="77777777" w:rsidR="002A368C" w:rsidRPr="002A368C" w:rsidRDefault="002A368C" w:rsidP="002A368C">
            <w:pPr>
              <w:pStyle w:val="TableBody"/>
            </w:pPr>
          </w:p>
        </w:tc>
        <w:tc>
          <w:tcPr>
            <w:tcW w:w="2108" w:type="dxa"/>
          </w:tcPr>
          <w:p w14:paraId="08A96F05" w14:textId="77777777" w:rsidR="002A368C" w:rsidRPr="002A368C" w:rsidRDefault="002A368C" w:rsidP="002A368C">
            <w:pPr>
              <w:pStyle w:val="TableBody"/>
            </w:pPr>
          </w:p>
        </w:tc>
      </w:tr>
      <w:tr w:rsidR="00A2561E" w:rsidRPr="002A368C" w14:paraId="2ED4E509" w14:textId="77777777" w:rsidTr="00A456A9">
        <w:tblPrEx>
          <w:tblCellMar>
            <w:top w:w="0" w:type="dxa"/>
            <w:bottom w:w="0" w:type="dxa"/>
          </w:tblCellMar>
        </w:tblPrEx>
        <w:tc>
          <w:tcPr>
            <w:tcW w:w="3560" w:type="dxa"/>
          </w:tcPr>
          <w:p w14:paraId="23109C88" w14:textId="77777777" w:rsidR="00A2561E" w:rsidRPr="002A368C" w:rsidRDefault="00A2561E" w:rsidP="002A368C">
            <w:pPr>
              <w:pStyle w:val="TableBody"/>
            </w:pPr>
          </w:p>
        </w:tc>
        <w:tc>
          <w:tcPr>
            <w:tcW w:w="3392" w:type="dxa"/>
          </w:tcPr>
          <w:p w14:paraId="4F51DA6F" w14:textId="77777777" w:rsidR="00A2561E" w:rsidRPr="002A368C" w:rsidRDefault="00A2561E" w:rsidP="002A368C">
            <w:pPr>
              <w:pStyle w:val="TableBody"/>
            </w:pPr>
          </w:p>
        </w:tc>
        <w:tc>
          <w:tcPr>
            <w:tcW w:w="2108" w:type="dxa"/>
          </w:tcPr>
          <w:p w14:paraId="1235A3AD" w14:textId="77777777" w:rsidR="00A2561E" w:rsidRPr="002A368C" w:rsidRDefault="00A2561E" w:rsidP="002A368C">
            <w:pPr>
              <w:pStyle w:val="TableBody"/>
            </w:pPr>
          </w:p>
        </w:tc>
      </w:tr>
      <w:tr w:rsidR="00A2561E" w:rsidRPr="002A368C" w14:paraId="179472FD" w14:textId="77777777" w:rsidTr="00A456A9">
        <w:tblPrEx>
          <w:tblCellMar>
            <w:top w:w="0" w:type="dxa"/>
            <w:bottom w:w="0" w:type="dxa"/>
          </w:tblCellMar>
        </w:tblPrEx>
        <w:tc>
          <w:tcPr>
            <w:tcW w:w="3560" w:type="dxa"/>
          </w:tcPr>
          <w:p w14:paraId="38636529" w14:textId="77777777" w:rsidR="00A2561E" w:rsidRPr="002A368C" w:rsidRDefault="00A2561E" w:rsidP="002A368C">
            <w:pPr>
              <w:pStyle w:val="TableBody"/>
            </w:pPr>
          </w:p>
        </w:tc>
        <w:tc>
          <w:tcPr>
            <w:tcW w:w="3392" w:type="dxa"/>
          </w:tcPr>
          <w:p w14:paraId="582C9608" w14:textId="77777777" w:rsidR="00A2561E" w:rsidRPr="002A368C" w:rsidRDefault="00A2561E" w:rsidP="002A368C">
            <w:pPr>
              <w:pStyle w:val="TableBody"/>
            </w:pPr>
          </w:p>
        </w:tc>
        <w:tc>
          <w:tcPr>
            <w:tcW w:w="2108" w:type="dxa"/>
          </w:tcPr>
          <w:p w14:paraId="41849D54" w14:textId="77777777" w:rsidR="00A2561E" w:rsidRPr="002A368C" w:rsidRDefault="00A2561E" w:rsidP="002A368C">
            <w:pPr>
              <w:pStyle w:val="TableBody"/>
            </w:pPr>
          </w:p>
        </w:tc>
      </w:tr>
      <w:tr w:rsidR="00A2561E" w:rsidRPr="002A368C" w14:paraId="4AD77CA0" w14:textId="77777777" w:rsidTr="00A456A9">
        <w:tblPrEx>
          <w:tblCellMar>
            <w:top w:w="0" w:type="dxa"/>
            <w:bottom w:w="0" w:type="dxa"/>
          </w:tblCellMar>
        </w:tblPrEx>
        <w:tc>
          <w:tcPr>
            <w:tcW w:w="3560" w:type="dxa"/>
          </w:tcPr>
          <w:p w14:paraId="350C14B9" w14:textId="77777777" w:rsidR="00A2561E" w:rsidRPr="002A368C" w:rsidRDefault="00A2561E" w:rsidP="002A368C">
            <w:pPr>
              <w:pStyle w:val="TableBody"/>
            </w:pPr>
          </w:p>
        </w:tc>
        <w:tc>
          <w:tcPr>
            <w:tcW w:w="3392" w:type="dxa"/>
          </w:tcPr>
          <w:p w14:paraId="2B83DB9E" w14:textId="77777777" w:rsidR="00A2561E" w:rsidRPr="002A368C" w:rsidRDefault="00A2561E" w:rsidP="002A368C">
            <w:pPr>
              <w:pStyle w:val="TableBody"/>
            </w:pPr>
          </w:p>
        </w:tc>
        <w:tc>
          <w:tcPr>
            <w:tcW w:w="2108" w:type="dxa"/>
          </w:tcPr>
          <w:p w14:paraId="7C8D1124" w14:textId="77777777" w:rsidR="00A2561E" w:rsidRPr="002A368C" w:rsidRDefault="00A2561E" w:rsidP="002A368C">
            <w:pPr>
              <w:pStyle w:val="TableBody"/>
            </w:pPr>
          </w:p>
        </w:tc>
      </w:tr>
      <w:tr w:rsidR="00A2561E" w:rsidRPr="002A368C" w14:paraId="2E33323F" w14:textId="77777777" w:rsidTr="00A456A9">
        <w:tblPrEx>
          <w:tblCellMar>
            <w:top w:w="0" w:type="dxa"/>
            <w:bottom w:w="0" w:type="dxa"/>
          </w:tblCellMar>
        </w:tblPrEx>
        <w:tc>
          <w:tcPr>
            <w:tcW w:w="3560" w:type="dxa"/>
          </w:tcPr>
          <w:p w14:paraId="47D4EB5A" w14:textId="77777777" w:rsidR="00A2561E" w:rsidRPr="002A368C" w:rsidRDefault="00A2561E" w:rsidP="002A368C">
            <w:pPr>
              <w:pStyle w:val="TableBody"/>
            </w:pPr>
          </w:p>
        </w:tc>
        <w:tc>
          <w:tcPr>
            <w:tcW w:w="3392" w:type="dxa"/>
          </w:tcPr>
          <w:p w14:paraId="4E55C4BF" w14:textId="77777777" w:rsidR="00A2561E" w:rsidRPr="002A368C" w:rsidRDefault="00A2561E" w:rsidP="002A368C">
            <w:pPr>
              <w:pStyle w:val="TableBody"/>
            </w:pPr>
          </w:p>
        </w:tc>
        <w:tc>
          <w:tcPr>
            <w:tcW w:w="2108" w:type="dxa"/>
          </w:tcPr>
          <w:p w14:paraId="4B69A030" w14:textId="77777777" w:rsidR="00A2561E" w:rsidRPr="002A368C" w:rsidRDefault="00A2561E" w:rsidP="002A368C">
            <w:pPr>
              <w:pStyle w:val="TableBody"/>
            </w:pPr>
          </w:p>
        </w:tc>
      </w:tr>
    </w:tbl>
    <w:p w14:paraId="260CC47B" w14:textId="77777777" w:rsidR="00225B4A" w:rsidRDefault="00225B4A" w:rsidP="00AB0667">
      <w:pPr>
        <w:pStyle w:val="NormalH1"/>
      </w:pPr>
    </w:p>
    <w:p w14:paraId="1F826A74" w14:textId="52DA59E8" w:rsidR="00A456A9" w:rsidRPr="00A456A9" w:rsidRDefault="00A456A9" w:rsidP="00F4790A">
      <w:pPr>
        <w:pStyle w:val="NormalH2"/>
      </w:pPr>
      <w:r w:rsidRPr="00A456A9">
        <w:lastRenderedPageBreak/>
        <w:t xml:space="preserve">Authorising </w:t>
      </w:r>
      <w:r w:rsidR="00CD476F">
        <w:t>m</w:t>
      </w:r>
      <w:r w:rsidRPr="00A456A9">
        <w:t>anager</w:t>
      </w:r>
    </w:p>
    <w:p w14:paraId="693AAEFE" w14:textId="77777777" w:rsidR="00A456A9" w:rsidRPr="00A456A9" w:rsidRDefault="00A456A9" w:rsidP="00A456A9">
      <w:r w:rsidRPr="00A456A9">
        <w:t xml:space="preserve">I confirm that the practitioners named above have declared themselves suitably trained and competent to work under this PGD. I give authorisation on behalf of </w:t>
      </w:r>
      <w:r w:rsidRPr="00A456A9">
        <w:rPr>
          <w:rStyle w:val="Bold"/>
        </w:rPr>
        <w:t>[insert name of organisation]</w:t>
      </w:r>
      <w:r w:rsidRPr="00A456A9">
        <w:t xml:space="preserve"> for the </w:t>
      </w:r>
      <w:r w:rsidR="005F7590" w:rsidRPr="00A456A9">
        <w:t>above-named</w:t>
      </w:r>
      <w:r w:rsidRPr="00A456A9">
        <w:t xml:space="preserve"> health care professionals who have signed the PGD to work under it.</w:t>
      </w:r>
    </w:p>
    <w:p w14:paraId="0B5831B9" w14:textId="77777777" w:rsidR="00A456A9" w:rsidRPr="00A456A9" w:rsidRDefault="00A456A9" w:rsidP="00A456A9">
      <w:r w:rsidRPr="00A456A9">
        <w:t>Lead clinician for the service area</w:t>
      </w:r>
      <w:r w:rsidR="00A2561E">
        <w:t>:</w:t>
      </w:r>
    </w:p>
    <w:p w14:paraId="51784BD1" w14:textId="77777777" w:rsidR="00176180" w:rsidRDefault="00A456A9" w:rsidP="00A456A9">
      <w:r w:rsidRPr="00A456A9">
        <w:t>Name …………………………………………………</w:t>
      </w:r>
      <w:r w:rsidR="00615813" w:rsidRPr="00A456A9">
        <w:t>….</w:t>
      </w:r>
    </w:p>
    <w:p w14:paraId="0F0160F4" w14:textId="77777777" w:rsidR="00176180" w:rsidRDefault="00A456A9" w:rsidP="00A456A9">
      <w:r w:rsidRPr="00A456A9">
        <w:t>Signature ………………………………………………..</w:t>
      </w:r>
    </w:p>
    <w:p w14:paraId="42F123D1" w14:textId="77777777" w:rsidR="00A456A9" w:rsidRPr="00A456A9" w:rsidRDefault="00A456A9" w:rsidP="00A456A9">
      <w:r w:rsidRPr="00A456A9">
        <w:t>Date ………………………………………………………</w:t>
      </w:r>
    </w:p>
    <w:p w14:paraId="37F7E517" w14:textId="77777777" w:rsidR="00615813" w:rsidRDefault="00A456A9" w:rsidP="00A456A9">
      <w:r w:rsidRPr="00A456A9">
        <w:t xml:space="preserve">Authorised staff should be provided with an individual copy of the clinical content of the PGD and a photocopy of the document showing their authorisation. </w:t>
      </w:r>
    </w:p>
    <w:p w14:paraId="3C1C66DE" w14:textId="77777777" w:rsidR="0024328C" w:rsidRDefault="00A456A9" w:rsidP="008B26EB">
      <w:r w:rsidRPr="00A456A9">
        <w:t>This authorisation sheet should be retained to serve as a record of those practitioners authorised to work under this PGD.</w:t>
      </w:r>
    </w:p>
    <w:p w14:paraId="28A31F60" w14:textId="77777777" w:rsidR="0024328C" w:rsidRDefault="0024328C">
      <w:r>
        <w:br w:type="page"/>
      </w:r>
    </w:p>
    <w:p w14:paraId="14F77FB8" w14:textId="77777777" w:rsidR="008F428A" w:rsidRDefault="00AB0667" w:rsidP="00EC3EE6">
      <w:pPr>
        <w:pStyle w:val="NormalH1"/>
      </w:pPr>
      <w:bookmarkStart w:id="40" w:name="_Toc124848783"/>
      <w:r w:rsidRPr="00AB0667">
        <w:rPr>
          <w:bCs/>
        </w:rPr>
        <w:lastRenderedPageBreak/>
        <w:t>8.</w:t>
      </w:r>
      <w:r>
        <w:t xml:space="preserve"> </w:t>
      </w:r>
      <w:r w:rsidR="0024328C">
        <w:t xml:space="preserve">Version </w:t>
      </w:r>
      <w:r>
        <w:t>h</w:t>
      </w:r>
      <w:r w:rsidR="0024328C">
        <w:t>istory</w:t>
      </w:r>
      <w:bookmarkEnd w:id="40"/>
    </w:p>
    <w:tbl>
      <w:tblPr>
        <w:tblStyle w:val="TableGrid"/>
        <w:tblW w:w="9773" w:type="dxa"/>
        <w:tblLayout w:type="fixed"/>
        <w:tblLook w:val="0620" w:firstRow="1" w:lastRow="0" w:firstColumn="0" w:lastColumn="0" w:noHBand="1" w:noVBand="1"/>
      </w:tblPr>
      <w:tblGrid>
        <w:gridCol w:w="1040"/>
        <w:gridCol w:w="2357"/>
        <w:gridCol w:w="6376"/>
      </w:tblGrid>
      <w:tr w:rsidR="00814B11" w14:paraId="4D2913F8" w14:textId="77777777" w:rsidTr="00C4047F">
        <w:trPr>
          <w:cnfStyle w:val="100000000000" w:firstRow="1" w:lastRow="0" w:firstColumn="0" w:lastColumn="0" w:oddVBand="0" w:evenVBand="0" w:oddHBand="0" w:evenHBand="0" w:firstRowFirstColumn="0" w:firstRowLastColumn="0" w:lastRowFirstColumn="0" w:lastRowLastColumn="0"/>
          <w:cantSplit/>
          <w:trHeight w:val="397"/>
        </w:trPr>
        <w:tc>
          <w:tcPr>
            <w:tcW w:w="1040" w:type="dxa"/>
          </w:tcPr>
          <w:p w14:paraId="75EB6126" w14:textId="77777777" w:rsidR="00814B11" w:rsidRPr="00DA3DEC" w:rsidRDefault="00814B11" w:rsidP="00D202E2">
            <w:pPr>
              <w:pStyle w:val="TableHead"/>
            </w:pPr>
            <w:r>
              <w:t>Version</w:t>
            </w:r>
          </w:p>
        </w:tc>
        <w:tc>
          <w:tcPr>
            <w:tcW w:w="2357" w:type="dxa"/>
          </w:tcPr>
          <w:p w14:paraId="61FAEE8E" w14:textId="77777777" w:rsidR="00814B11" w:rsidRPr="00DA3DEC" w:rsidRDefault="00814B11" w:rsidP="00D202E2">
            <w:pPr>
              <w:pStyle w:val="TableHead"/>
            </w:pPr>
            <w:r>
              <w:t>Date</w:t>
            </w:r>
          </w:p>
        </w:tc>
        <w:tc>
          <w:tcPr>
            <w:tcW w:w="6376" w:type="dxa"/>
          </w:tcPr>
          <w:p w14:paraId="729EB23F" w14:textId="77777777" w:rsidR="00814B11" w:rsidRPr="00DA3DEC" w:rsidRDefault="00814B11" w:rsidP="00D202E2">
            <w:pPr>
              <w:pStyle w:val="TableHead"/>
            </w:pPr>
            <w:r>
              <w:t>Summary of changes</w:t>
            </w:r>
          </w:p>
        </w:tc>
      </w:tr>
      <w:tr w:rsidR="006F1C7E" w14:paraId="77C52891" w14:textId="77777777" w:rsidTr="006F1C7E">
        <w:tblPrEx>
          <w:tblLook w:val="04A0" w:firstRow="1" w:lastRow="0" w:firstColumn="1" w:lastColumn="0" w:noHBand="0" w:noVBand="1"/>
        </w:tblPrEx>
        <w:trPr>
          <w:trHeight w:val="397"/>
        </w:trPr>
        <w:tc>
          <w:tcPr>
            <w:tcW w:w="1040" w:type="dxa"/>
          </w:tcPr>
          <w:p w14:paraId="3DFF2556" w14:textId="77777777" w:rsidR="006F1C7E" w:rsidRPr="00C130E4" w:rsidRDefault="006F1C7E" w:rsidP="00577E32">
            <w:pPr>
              <w:pStyle w:val="TableBody"/>
            </w:pPr>
            <w:r w:rsidRPr="00C130E4">
              <w:t>1.0</w:t>
            </w:r>
          </w:p>
        </w:tc>
        <w:tc>
          <w:tcPr>
            <w:tcW w:w="2357" w:type="dxa"/>
          </w:tcPr>
          <w:p w14:paraId="0048320E" w14:textId="77777777" w:rsidR="006F1C7E" w:rsidRPr="00C130E4" w:rsidRDefault="006F1C7E" w:rsidP="00577E32">
            <w:pPr>
              <w:pStyle w:val="TableBody"/>
            </w:pPr>
            <w:r w:rsidRPr="00C130E4">
              <w:t>1 Sep</w:t>
            </w:r>
            <w:r>
              <w:t>tember</w:t>
            </w:r>
            <w:r w:rsidRPr="00C130E4">
              <w:t xml:space="preserve"> 2021</w:t>
            </w:r>
          </w:p>
        </w:tc>
        <w:tc>
          <w:tcPr>
            <w:tcW w:w="6376" w:type="dxa"/>
          </w:tcPr>
          <w:p w14:paraId="6CB50672" w14:textId="77777777" w:rsidR="006F1C7E" w:rsidRDefault="006F1C7E" w:rsidP="00577E32">
            <w:pPr>
              <w:pStyle w:val="Tablebullet1"/>
            </w:pPr>
            <w:r w:rsidRPr="002700AB">
              <w:t xml:space="preserve">Version 1.0 new PGD </w:t>
            </w:r>
          </w:p>
        </w:tc>
      </w:tr>
      <w:tr w:rsidR="006F1C7E" w14:paraId="13C1142E" w14:textId="77777777" w:rsidTr="006F1C7E">
        <w:tblPrEx>
          <w:tblLook w:val="04A0" w:firstRow="1" w:lastRow="0" w:firstColumn="1" w:lastColumn="0" w:noHBand="0" w:noVBand="1"/>
        </w:tblPrEx>
        <w:trPr>
          <w:trHeight w:val="397"/>
        </w:trPr>
        <w:tc>
          <w:tcPr>
            <w:tcW w:w="1040" w:type="dxa"/>
          </w:tcPr>
          <w:p w14:paraId="61B23324" w14:textId="77777777" w:rsidR="006F1C7E" w:rsidRPr="00C130E4" w:rsidRDefault="006F1C7E" w:rsidP="00577E32">
            <w:pPr>
              <w:pStyle w:val="TableBody"/>
            </w:pPr>
            <w:r w:rsidRPr="00C130E4">
              <w:t>2.0</w:t>
            </w:r>
          </w:p>
        </w:tc>
        <w:tc>
          <w:tcPr>
            <w:tcW w:w="2357" w:type="dxa"/>
          </w:tcPr>
          <w:p w14:paraId="0C60DEA6" w14:textId="77777777" w:rsidR="006F1C7E" w:rsidRPr="00C130E4" w:rsidRDefault="006F1C7E" w:rsidP="00577E32">
            <w:pPr>
              <w:pStyle w:val="TableBody"/>
            </w:pPr>
            <w:r w:rsidRPr="00C130E4">
              <w:t>1 Jun</w:t>
            </w:r>
            <w:r>
              <w:t>e</w:t>
            </w:r>
            <w:r w:rsidRPr="00C130E4">
              <w:t xml:space="preserve"> 2022</w:t>
            </w:r>
          </w:p>
        </w:tc>
        <w:tc>
          <w:tcPr>
            <w:tcW w:w="6376" w:type="dxa"/>
          </w:tcPr>
          <w:p w14:paraId="7B4A2F5D" w14:textId="77777777" w:rsidR="006F1C7E" w:rsidRPr="00B160A5" w:rsidRDefault="006F1C7E" w:rsidP="00577E32">
            <w:pPr>
              <w:pStyle w:val="Tablebullet1"/>
            </w:pPr>
            <w:r w:rsidRPr="00B160A5">
              <w:t>Inclusion criteria expanded to include other patient groups out</w:t>
            </w:r>
            <w:r>
              <w:t>-with the Scottish</w:t>
            </w:r>
            <w:r w:rsidRPr="00B160A5">
              <w:t xml:space="preserve"> childhood immunisation programme</w:t>
            </w:r>
            <w:r>
              <w:t>.</w:t>
            </w:r>
          </w:p>
          <w:p w14:paraId="6807F14D" w14:textId="059AE64A" w:rsidR="006F1C7E" w:rsidRPr="002700AB" w:rsidRDefault="006F1C7E" w:rsidP="00577E32">
            <w:pPr>
              <w:pStyle w:val="Tablebullet1"/>
            </w:pPr>
            <w:r w:rsidRPr="00B160A5">
              <w:t>Frequency section updated to include dosing information for the othe</w:t>
            </w:r>
            <w:r>
              <w:t xml:space="preserve">r patient groups </w:t>
            </w:r>
            <w:proofErr w:type="spellStart"/>
            <w:r>
              <w:t>outwith</w:t>
            </w:r>
            <w:proofErr w:type="spellEnd"/>
            <w:r>
              <w:t xml:space="preserve"> the Scottish</w:t>
            </w:r>
            <w:r w:rsidRPr="00B160A5">
              <w:t xml:space="preserve"> childhood immunisation programme</w:t>
            </w:r>
            <w:r>
              <w:t>.</w:t>
            </w:r>
          </w:p>
        </w:tc>
      </w:tr>
      <w:tr w:rsidR="00CE07C6" w14:paraId="7A81B1C0" w14:textId="77777777" w:rsidTr="006F1C7E">
        <w:tblPrEx>
          <w:tblLook w:val="04A0" w:firstRow="1" w:lastRow="0" w:firstColumn="1" w:lastColumn="0" w:noHBand="0" w:noVBand="1"/>
        </w:tblPrEx>
        <w:trPr>
          <w:trHeight w:val="397"/>
        </w:trPr>
        <w:tc>
          <w:tcPr>
            <w:tcW w:w="1040" w:type="dxa"/>
          </w:tcPr>
          <w:p w14:paraId="21D38CC3" w14:textId="5EC96772" w:rsidR="00CE07C6" w:rsidRPr="00C130E4" w:rsidRDefault="00B04A18" w:rsidP="00577E32">
            <w:pPr>
              <w:pStyle w:val="TableBody"/>
            </w:pPr>
            <w:r>
              <w:t>2.1</w:t>
            </w:r>
          </w:p>
        </w:tc>
        <w:tc>
          <w:tcPr>
            <w:tcW w:w="2357" w:type="dxa"/>
          </w:tcPr>
          <w:p w14:paraId="4BCBCADD" w14:textId="2D4312FA" w:rsidR="00CE07C6" w:rsidRPr="00C130E4" w:rsidRDefault="00CE07C6" w:rsidP="00577E32">
            <w:pPr>
              <w:pStyle w:val="TableBody"/>
            </w:pPr>
            <w:r>
              <w:t xml:space="preserve">1 </w:t>
            </w:r>
            <w:r w:rsidR="007B4E57">
              <w:t>March</w:t>
            </w:r>
            <w:r w:rsidR="00C23BD8">
              <w:t xml:space="preserve"> 2024</w:t>
            </w:r>
          </w:p>
        </w:tc>
        <w:tc>
          <w:tcPr>
            <w:tcW w:w="6376" w:type="dxa"/>
          </w:tcPr>
          <w:p w14:paraId="34D85CF8" w14:textId="1A25BBBF" w:rsidR="00B04A18" w:rsidRPr="00755CA3" w:rsidRDefault="00B04A18" w:rsidP="00B04A18">
            <w:pPr>
              <w:pStyle w:val="Tablebullet1"/>
              <w:numPr>
                <w:ilvl w:val="0"/>
                <w:numId w:val="0"/>
              </w:numPr>
              <w:ind w:left="360"/>
            </w:pPr>
            <w:r w:rsidRPr="00755CA3">
              <w:t xml:space="preserve">The following changes to version </w:t>
            </w:r>
            <w:r>
              <w:t>2</w:t>
            </w:r>
            <w:r w:rsidRPr="00755CA3">
              <w:t>.0 of the PGD have been made: </w:t>
            </w:r>
          </w:p>
          <w:p w14:paraId="353ACFAF" w14:textId="77777777" w:rsidR="009476B3" w:rsidRDefault="009476B3" w:rsidP="009476B3">
            <w:pPr>
              <w:pStyle w:val="Tablebullet1"/>
            </w:pPr>
            <w:r>
              <w:t>This PGD has undergone minor rewording, layout, formatting changes for clarity and consistency with other PHS national specimen PGDs.</w:t>
            </w:r>
          </w:p>
          <w:p w14:paraId="2C3E3721" w14:textId="77777777" w:rsidR="009476B3" w:rsidRDefault="009476B3" w:rsidP="009476B3">
            <w:pPr>
              <w:pStyle w:val="Tablebullet1"/>
            </w:pPr>
            <w:r>
              <w:t>Inclusion criteria, frequency and reference section updated to remove MMR use under this PGD for individuals who have</w:t>
            </w:r>
            <w:r w:rsidRPr="004D6837">
              <w:t xml:space="preserve"> received a haemopoietic stem cell transplant.</w:t>
            </w:r>
          </w:p>
          <w:p w14:paraId="69D5BC8F" w14:textId="77777777" w:rsidR="009476B3" w:rsidRDefault="009476B3" w:rsidP="009476B3">
            <w:pPr>
              <w:pStyle w:val="Tablebullet1"/>
            </w:pPr>
            <w:r>
              <w:t>Exclusion criteria and action if excluded sections updated to specify live shingles vaccine.</w:t>
            </w:r>
          </w:p>
          <w:p w14:paraId="47AFB668" w14:textId="77777777" w:rsidR="009476B3" w:rsidRDefault="009476B3" w:rsidP="009476B3">
            <w:pPr>
              <w:pStyle w:val="Tablebullet1"/>
            </w:pPr>
            <w:r>
              <w:t>Frequency section updated to reference UKHSA National Measles Guidance</w:t>
            </w:r>
          </w:p>
          <w:p w14:paraId="3AF5824F" w14:textId="77777777" w:rsidR="009476B3" w:rsidRDefault="009476B3" w:rsidP="009476B3">
            <w:pPr>
              <w:pStyle w:val="Tablebullet1"/>
            </w:pPr>
            <w:r w:rsidRPr="00F91DB4">
              <w:t>Observation following vaccination section updated to include advice on driving post-immunisation.</w:t>
            </w:r>
          </w:p>
          <w:p w14:paraId="643258B3" w14:textId="77777777" w:rsidR="00CE07C6" w:rsidRPr="00B160A5" w:rsidRDefault="00CE07C6" w:rsidP="009476B3">
            <w:pPr>
              <w:pStyle w:val="Tablebullet1"/>
              <w:numPr>
                <w:ilvl w:val="0"/>
                <w:numId w:val="0"/>
              </w:numPr>
              <w:ind w:left="720"/>
            </w:pPr>
          </w:p>
        </w:tc>
      </w:tr>
      <w:bookmarkEnd w:id="0"/>
    </w:tbl>
    <w:p w14:paraId="486FD972" w14:textId="77777777" w:rsidR="00814B11" w:rsidRPr="00814B11" w:rsidRDefault="00814B11" w:rsidP="00C4047F"/>
    <w:sectPr w:rsidR="00814B11" w:rsidRPr="00814B11" w:rsidSect="0039525D">
      <w:footnotePr>
        <w:numFmt w:val="lowerRoman"/>
      </w:footnotePr>
      <w:endnotePr>
        <w:numFmt w:val="decimal"/>
      </w:endnotePr>
      <w:pgSz w:w="11906" w:h="16838"/>
      <w:pgMar w:top="1418" w:right="1418" w:bottom="1531" w:left="1418"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91A9C" w14:textId="77777777" w:rsidR="0039525D" w:rsidRPr="008B0187" w:rsidRDefault="0039525D" w:rsidP="008B0187">
      <w:pPr>
        <w:pStyle w:val="Footer"/>
      </w:pPr>
    </w:p>
  </w:endnote>
  <w:endnote w:type="continuationSeparator" w:id="0">
    <w:p w14:paraId="0C03D7AD" w14:textId="77777777" w:rsidR="0039525D" w:rsidRDefault="0039525D"/>
  </w:endnote>
  <w:endnote w:type="continuationNotice" w:id="1">
    <w:p w14:paraId="61EDCD55" w14:textId="77777777" w:rsidR="0039525D" w:rsidRDefault="0039525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Frutiger-Light">
    <w:altName w:val="Malgun Gothic"/>
    <w:panose1 w:val="00000000000000000000"/>
    <w:charset w:val="81"/>
    <w:family w:val="swiss"/>
    <w:notTrueType/>
    <w:pitch w:val="default"/>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3395953"/>
      <w:docPartObj>
        <w:docPartGallery w:val="Page Numbers (Bottom of Page)"/>
        <w:docPartUnique/>
      </w:docPartObj>
    </w:sdtPr>
    <w:sdtEndPr/>
    <w:sdtContent>
      <w:p w14:paraId="1A2FCC33" w14:textId="77777777" w:rsidR="00D202E2" w:rsidRDefault="00D202E2" w:rsidP="00587532">
        <w:pPr>
          <w:pStyle w:val="Pagenumbers"/>
        </w:pPr>
        <w:r>
          <w:rPr>
            <w:noProof w:val="0"/>
          </w:rPr>
          <w:fldChar w:fldCharType="begin"/>
        </w:r>
        <w:r>
          <w:instrText xml:space="preserve"> PAGE   \* MERGEFORMAT </w:instrText>
        </w:r>
        <w:r>
          <w:rPr>
            <w:noProof w:val="0"/>
          </w:rPr>
          <w:fldChar w:fldCharType="separate"/>
        </w:r>
        <w:r w:rsidR="00B104AA">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1" w:name="_Hlk69468892"/>
  <w:bookmarkStart w:id="2" w:name="_Hlk69468893"/>
  <w:bookmarkStart w:id="3" w:name="_Hlk69468894"/>
  <w:bookmarkStart w:id="4" w:name="_Hlk69468895"/>
  <w:bookmarkStart w:id="5" w:name="_Hlk69468896"/>
  <w:bookmarkStart w:id="6" w:name="_Hlk69468897"/>
  <w:p w14:paraId="287A4A1C" w14:textId="17ED9FE2" w:rsidR="00D202E2" w:rsidRPr="00294C86" w:rsidRDefault="00D202E2" w:rsidP="002A3CA3">
    <w:pPr>
      <w:pStyle w:val="Coverfooter"/>
    </w:pPr>
    <w:r w:rsidRPr="00294C86">
      <w:rPr>
        <w:noProof/>
        <w:lang w:eastAsia="en-GB"/>
      </w:rPr>
      <mc:AlternateContent>
        <mc:Choice Requires="wps">
          <w:drawing>
            <wp:anchor distT="0" distB="0" distL="114300" distR="114300" simplePos="0" relativeHeight="251658240" behindDoc="0" locked="0" layoutInCell="1" allowOverlap="1" wp14:anchorId="58AFA01C" wp14:editId="649E39B9">
              <wp:simplePos x="0" y="0"/>
              <wp:positionH relativeFrom="rightMargin">
                <wp:align>left</wp:align>
              </wp:positionH>
              <wp:positionV relativeFrom="bottomMargin">
                <wp:align>top</wp:align>
              </wp:positionV>
              <wp:extent cx="449119" cy="1259840"/>
              <wp:effectExtent l="0" t="0" r="0" b="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9119" cy="12598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06C20E1"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AFA01C" id="Rectangle 13" o:spid="_x0000_s1027" alt="&quot;&quot;" style="position:absolute;margin-left:0;margin-top:0;width:35.35pt;height:99.2pt;z-index:251658240;visibility:visible;mso-wrap-style:square;mso-width-percent:0;mso-height-percent:0;mso-wrap-distance-left:9pt;mso-wrap-distance-top:0;mso-wrap-distance-right:9pt;mso-wrap-distance-bottom:0;mso-position-horizontal:left;mso-position-horizontal-relative:right-margin-area;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qo4dQIAAEAFAAAOAAAAZHJzL2Uyb0RvYy54bWysVFFv2yAQfp+0/4B4Xx1H6dZEdaooVaZJ&#10;VVutnfpMMNSWMMcOEjv79Tuw43RttYdpfsAH3H13fHzH5VXXGLZX6GuwBc/PJpwpK6Gs7XPBfzxu&#10;Pl1w5oOwpTBgVcEPyvOr5ccPl61bqClUYEqFjECsX7Su4FUIbpFlXlaqEf4MnLK0qQEbEWiKz1mJ&#10;oiX0xmTTyeRz1gKWDkEq72n1ut/ky4SvtZLhTmuvAjMFp9pCGjGN2zhmy0uxeEbhqloOZYh/qKIR&#10;taWkI9S1CILtsH4D1dQSwYMOZxKaDLSupUpnoNPkk1eneaiEU+ksRI53I03+/8HK2/2Du0eioXV+&#10;4cmMp+g0NvFP9bEukXUYyVJdYJIWZ7N5ns85k7SVT8/nF7PEZnaKdujDVwUNi0bBkS4jcST2Nz5Q&#10;RnI9usRkFja1MelCjP1jgRzjSnYqMVnhYFT0M/a70qwuqahpSpDUo9YG2V7QvQsplQ15v1WJUvXL&#10;5xP6ogAIfoxIswQYkTUVNGIPAFGZb7F7mME/hqokvjF48rfC+uAxImUGG8bgpraA7wEYOtWQufc/&#10;ktRTE1kK3bYjl2huoTzcI0Pou8A7uanpZm6ED/cCSfbUINTK4Y4GbaAtOAwWZxXgr/fWo3/B48hZ&#10;S21UcP9zJ1BxZr5Z0uk8n5EuWEiT2fmXKU3w5c42TaIXXQazu2YNdGU5vRpOJjMGBHM0NULzRC2/&#10;imlpS1hJpRWc0vfmOvTdTU+GVKtVcqJWcyLc2AcnI3TkNwrvsXsS6AZ1BtL1LRw7TixeibT3jZEW&#10;VrsAuk4KPtE6ME9tmiQ0PCnxHXg5T16nh2/5GwAA//8DAFBLAwQUAAYACAAAACEAMqap+NsAAAAE&#10;AQAADwAAAGRycy9kb3ducmV2LnhtbEyPwU7DMBBE70j8g7VIXBC1QagNIU6FKvVWBG34ADfexoF4&#10;HWKnDXw9Cxe4jLSa0czbYjn5ThxxiG0gDTczBQKpDralRsNrtb7OQMRkyJouEGr4xAjL8vysMLkN&#10;J9ricZcawSUUc6PBpdTnUsbaoTdxFnok9g5h8CbxOTTSDubE5b6Tt0rNpTct8YIzPa4c1u+70WtY&#10;VeunK/VVjbh5rt/mLmYfL4eN1pcX0+MDiIRT+gvDDz6jQ8lM+zCSjaLTwI+kX2VvoRYg9py5z+5A&#10;loX8D19+AwAA//8DAFBLAQItABQABgAIAAAAIQC2gziS/gAAAOEBAAATAAAAAAAAAAAAAAAAAAAA&#10;AABbQ29udGVudF9UeXBlc10ueG1sUEsBAi0AFAAGAAgAAAAhADj9If/WAAAAlAEAAAsAAAAAAAAA&#10;AAAAAAAALwEAAF9yZWxzLy5yZWxzUEsBAi0AFAAGAAgAAAAhAC1uqjh1AgAAQAUAAA4AAAAAAAAA&#10;AAAAAAAALgIAAGRycy9lMm9Eb2MueG1sUEsBAi0AFAAGAAgAAAAhADKmqfjbAAAABAEAAA8AAAAA&#10;AAAAAAAAAAAAzwQAAGRycy9kb3ducmV2LnhtbFBLBQYAAAAABAAEAPMAAADXBQAAAAA=&#10;" filled="f" stroked="f" strokeweight="1.25pt">
              <v:textbox style="layout-flow:vertical" inset=",,,4mm">
                <w:txbxContent>
                  <w:p w14:paraId="406C20E1"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v:textbox>
              <w10:wrap anchorx="margin" anchory="margin"/>
            </v:rect>
          </w:pict>
        </mc:Fallback>
      </mc:AlternateContent>
    </w:r>
    <w:r>
      <w:t xml:space="preserve">Version </w:t>
    </w:r>
    <w:bookmarkEnd w:id="1"/>
    <w:bookmarkEnd w:id="2"/>
    <w:bookmarkEnd w:id="3"/>
    <w:bookmarkEnd w:id="4"/>
    <w:bookmarkEnd w:id="5"/>
    <w:bookmarkEnd w:id="6"/>
    <w:r w:rsidR="00AB5D4F">
      <w:t>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229A2" w14:textId="77777777" w:rsidR="00D202E2" w:rsidRPr="00AC7145" w:rsidRDefault="00D202E2" w:rsidP="00AC714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noProof w:val="0"/>
      </w:rPr>
      <w:id w:val="-289290511"/>
      <w:docPartObj>
        <w:docPartGallery w:val="Page Numbers (Bottom of Page)"/>
        <w:docPartUnique/>
      </w:docPartObj>
    </w:sdtPr>
    <w:sdtEndPr>
      <w:rPr>
        <w:noProof/>
      </w:rPr>
    </w:sdtEndPr>
    <w:sdtContent>
      <w:p w14:paraId="3DB51236" w14:textId="77777777" w:rsidR="00D202E2" w:rsidRPr="00B060A4" w:rsidRDefault="00D202E2" w:rsidP="00710325">
        <w:pPr>
          <w:pStyle w:val="Pagenumbers"/>
        </w:pPr>
        <w:r>
          <w:rPr>
            <w:noProof w:val="0"/>
          </w:rPr>
          <w:fldChar w:fldCharType="begin"/>
        </w:r>
        <w:r>
          <w:instrText xml:space="preserve"> PAGE   \* MERGEFORMAT </w:instrText>
        </w:r>
        <w:r>
          <w:rPr>
            <w:noProof w:val="0"/>
          </w:rPr>
          <w:fldChar w:fldCharType="separate"/>
        </w:r>
        <w:r w:rsidR="00592480">
          <w:t>1</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475434"/>
      <w:docPartObj>
        <w:docPartGallery w:val="Page Numbers (Bottom of Page)"/>
        <w:docPartUnique/>
      </w:docPartObj>
    </w:sdtPr>
    <w:sdtEndPr/>
    <w:sdtContent>
      <w:sdt>
        <w:sdtPr>
          <w:id w:val="-705557575"/>
          <w:docPartObj>
            <w:docPartGallery w:val="Page Numbers (Bottom of Page)"/>
            <w:docPartUnique/>
          </w:docPartObj>
        </w:sdtPr>
        <w:sdtEndPr/>
        <w:sdtContent>
          <w:p w14:paraId="1D73837D" w14:textId="77777777" w:rsidR="00D202E2" w:rsidRPr="00B060A4" w:rsidRDefault="00D202E2" w:rsidP="007825E0">
            <w:pPr>
              <w:pStyle w:val="Pagenumbers"/>
            </w:pPr>
            <w:r>
              <w:fldChar w:fldCharType="begin"/>
            </w:r>
            <w:r>
              <w:instrText xml:space="preserve"> PAGE   \* MERGEFORMAT </w:instrText>
            </w:r>
            <w:r>
              <w:fldChar w:fldCharType="separate"/>
            </w:r>
            <w:r w:rsidR="00592480">
              <w:t>24</w:t>
            </w:r>
            <w: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0E5D4" w14:textId="77777777" w:rsidR="0039525D" w:rsidRDefault="0039525D">
      <w:r>
        <w:separator/>
      </w:r>
    </w:p>
  </w:footnote>
  <w:footnote w:type="continuationSeparator" w:id="0">
    <w:p w14:paraId="7DFF6250" w14:textId="77777777" w:rsidR="0039525D" w:rsidRDefault="0039525D" w:rsidP="00151D33">
      <w:r>
        <w:continuationSeparator/>
      </w:r>
    </w:p>
    <w:p w14:paraId="496B96BD" w14:textId="77777777" w:rsidR="0039525D" w:rsidRDefault="0039525D" w:rsidP="00151D33"/>
    <w:p w14:paraId="3F82BE48" w14:textId="77777777" w:rsidR="0039525D" w:rsidRDefault="0039525D"/>
  </w:footnote>
  <w:footnote w:type="continuationNotice" w:id="1">
    <w:p w14:paraId="196A1E83" w14:textId="77777777" w:rsidR="0039525D" w:rsidRDefault="0039525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FDBD6" w14:textId="77777777" w:rsidR="00D202E2" w:rsidRPr="0040598E" w:rsidRDefault="00D202E2" w:rsidP="00E234F4">
    <w:pPr>
      <w:pStyle w:val="Header"/>
    </w:pPr>
    <w:r>
      <w:tab/>
    </w:r>
    <w:r>
      <w:rPr>
        <w:noProof/>
        <w:lang w:eastAsia="en-GB"/>
      </w:rPr>
      <w:drawing>
        <wp:inline distT="0" distB="0" distL="0" distR="0" wp14:anchorId="04323075" wp14:editId="1479AC35">
          <wp:extent cx="2159635" cy="779145"/>
          <wp:effectExtent l="0" t="0" r="0" b="1905"/>
          <wp:docPr id="10" name="Picture 10"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ublic Health Scotland 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159635" cy="779145"/>
                  </a:xfrm>
                  <a:prstGeom prst="rect">
                    <a:avLst/>
                  </a:prstGeom>
                  <a:noFill/>
                </pic:spPr>
              </pic:pic>
            </a:graphicData>
          </a:graphic>
        </wp:inline>
      </w:drawing>
    </w:r>
    <w:r>
      <w:rPr>
        <w:noProof/>
        <w:lang w:eastAsia="en-GB"/>
      </w:rPr>
      <w:drawing>
        <wp:anchor distT="0" distB="0" distL="114300" distR="114300" simplePos="0" relativeHeight="251658241" behindDoc="1" locked="0" layoutInCell="1" allowOverlap="1" wp14:anchorId="1AD02D78" wp14:editId="3F6D219F">
          <wp:simplePos x="0" y="0"/>
          <wp:positionH relativeFrom="page">
            <wp:posOffset>-2540</wp:posOffset>
          </wp:positionH>
          <wp:positionV relativeFrom="paragraph">
            <wp:posOffset>-2061736</wp:posOffset>
          </wp:positionV>
          <wp:extent cx="7560000" cy="10693816"/>
          <wp:effectExtent l="0" t="0" r="3175"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7560000" cy="1069381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D47CE"/>
    <w:multiLevelType w:val="multilevel"/>
    <w:tmpl w:val="CA78EF3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C7B6AC9"/>
    <w:multiLevelType w:val="hybridMultilevel"/>
    <w:tmpl w:val="54AEEC7E"/>
    <w:lvl w:ilvl="0" w:tplc="6004EA14">
      <w:start w:val="1"/>
      <w:numFmt w:val="bullet"/>
      <w:lvlText w:val=""/>
      <w:lvlJc w:val="left"/>
      <w:pPr>
        <w:ind w:left="360" w:hanging="360"/>
      </w:pPr>
      <w:rPr>
        <w:rFonts w:ascii="Symbol" w:hAnsi="Symbol" w:hint="default"/>
        <w:color w:val="auto"/>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B916AD"/>
    <w:multiLevelType w:val="multilevel"/>
    <w:tmpl w:val="D50EFFAE"/>
    <w:lvl w:ilvl="0">
      <w:start w:val="1"/>
      <w:numFmt w:val="decimal"/>
      <w:suff w:val="space"/>
      <w:lvlText w:val="%1."/>
      <w:lvlJc w:val="left"/>
      <w:pPr>
        <w:ind w:left="0" w:firstLine="0"/>
      </w:pPr>
      <w:rPr>
        <w:rFonts w:ascii="Arial" w:eastAsiaTheme="majorEastAsia" w:hAnsi="Arial" w:cstheme="majorBidi"/>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3"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4"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A636E7"/>
    <w:multiLevelType w:val="multilevel"/>
    <w:tmpl w:val="71902B66"/>
    <w:lvl w:ilvl="0">
      <w:start w:val="1"/>
      <w:numFmt w:val="decimal"/>
      <w:pStyle w:val="Tablebulletnumbered1123"/>
      <w:lvlText w:val="%1."/>
      <w:lvlJc w:val="left"/>
      <w:pPr>
        <w:tabs>
          <w:tab w:val="num" w:pos="284"/>
        </w:tabs>
        <w:ind w:left="284" w:hanging="284"/>
      </w:pPr>
      <w:rPr>
        <w:rFonts w:hint="default"/>
      </w:rPr>
    </w:lvl>
    <w:lvl w:ilvl="1">
      <w:start w:val="1"/>
      <w:numFmt w:val="lowerLetter"/>
      <w:pStyle w:val="Tablebulletnumbered2abc"/>
      <w:lvlText w:val="%2."/>
      <w:lvlJc w:val="left"/>
      <w:pPr>
        <w:tabs>
          <w:tab w:val="num" w:pos="567"/>
        </w:tabs>
        <w:ind w:left="567" w:hanging="28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6E0223"/>
    <w:multiLevelType w:val="multilevel"/>
    <w:tmpl w:val="4288B0E0"/>
    <w:lvl w:ilvl="0">
      <w:start w:val="1"/>
      <w:numFmt w:val="decimal"/>
      <w:pStyle w:val="Bulletnumbered1123"/>
      <w:lvlText w:val="%1."/>
      <w:lvlJc w:val="left"/>
      <w:pPr>
        <w:ind w:left="697" w:hanging="337"/>
      </w:pPr>
      <w:rPr>
        <w:rFonts w:hint="default"/>
      </w:rPr>
    </w:lvl>
    <w:lvl w:ilvl="1">
      <w:start w:val="1"/>
      <w:numFmt w:val="lowerLetter"/>
      <w:lvlRestart w:val="0"/>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85A3C3A"/>
    <w:multiLevelType w:val="hybridMultilevel"/>
    <w:tmpl w:val="4BB247B2"/>
    <w:lvl w:ilvl="0" w:tplc="28FCC83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EBB0B51"/>
    <w:multiLevelType w:val="hybridMultilevel"/>
    <w:tmpl w:val="427E4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EFA7177"/>
    <w:multiLevelType w:val="multilevel"/>
    <w:tmpl w:val="563CAFBA"/>
    <w:lvl w:ilvl="0">
      <w:start w:val="1"/>
      <w:numFmt w:val="decimal"/>
      <w:pStyle w:val="Heading1numbered"/>
      <w:suff w:val="space"/>
      <w:lvlText w:val="%1."/>
      <w:lvlJc w:val="left"/>
      <w:pPr>
        <w:ind w:left="0" w:firstLine="0"/>
      </w:pPr>
      <w:rPr>
        <w:rFonts w:ascii="Arial" w:eastAsiaTheme="majorEastAsia" w:hAnsi="Arial" w:cstheme="majorBidi"/>
      </w:rPr>
    </w:lvl>
    <w:lvl w:ilvl="1">
      <w:start w:val="1"/>
      <w:numFmt w:val="decimal"/>
      <w:pStyle w:val="NormalH2numbered"/>
      <w:suff w:val="space"/>
      <w:lvlText w:val="%1.%2."/>
      <w:lvlJc w:val="left"/>
      <w:pPr>
        <w:ind w:left="283"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11" w15:restartNumberingAfterBreak="0">
    <w:nsid w:val="3AE93D40"/>
    <w:multiLevelType w:val="hybridMultilevel"/>
    <w:tmpl w:val="FBB61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1B606F"/>
    <w:multiLevelType w:val="hybridMultilevel"/>
    <w:tmpl w:val="15CC8CAE"/>
    <w:lvl w:ilvl="0" w:tplc="F98E485E">
      <w:start w:val="1"/>
      <w:numFmt w:val="lowerLetter"/>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3" w15:restartNumberingAfterBreak="0">
    <w:nsid w:val="4E294C36"/>
    <w:multiLevelType w:val="hybridMultilevel"/>
    <w:tmpl w:val="D46E009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4" w15:restartNumberingAfterBreak="0">
    <w:nsid w:val="5F645449"/>
    <w:multiLevelType w:val="hybridMultilevel"/>
    <w:tmpl w:val="64081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75C0097D"/>
    <w:multiLevelType w:val="multilevel"/>
    <w:tmpl w:val="62F021B8"/>
    <w:lvl w:ilvl="0">
      <w:start w:val="1"/>
      <w:numFmt w:val="decimal"/>
      <w:pStyle w:val="NormalH1numbered"/>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num w:numId="1" w16cid:durableId="351422399">
    <w:abstractNumId w:val="12"/>
    <w:lvlOverride w:ilvl="0">
      <w:startOverride w:val="1"/>
    </w:lvlOverride>
  </w:num>
  <w:num w:numId="2" w16cid:durableId="86548138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6778585">
    <w:abstractNumId w:val="4"/>
  </w:num>
  <w:num w:numId="4" w16cid:durableId="2137404187">
    <w:abstractNumId w:val="15"/>
  </w:num>
  <w:num w:numId="5" w16cid:durableId="1207445461">
    <w:abstractNumId w:val="3"/>
  </w:num>
  <w:num w:numId="6" w16cid:durableId="1318806866">
    <w:abstractNumId w:val="6"/>
  </w:num>
  <w:num w:numId="7" w16cid:durableId="1805659800">
    <w:abstractNumId w:val="7"/>
  </w:num>
  <w:num w:numId="8" w16cid:durableId="1210873619">
    <w:abstractNumId w:val="10"/>
  </w:num>
  <w:num w:numId="9" w16cid:durableId="905452924">
    <w:abstractNumId w:val="5"/>
  </w:num>
  <w:num w:numId="10" w16cid:durableId="838085023">
    <w:abstractNumId w:val="0"/>
  </w:num>
  <w:num w:numId="11" w16cid:durableId="1563446915">
    <w:abstractNumId w:val="0"/>
  </w:num>
  <w:num w:numId="12" w16cid:durableId="464813903">
    <w:abstractNumId w:val="13"/>
  </w:num>
  <w:num w:numId="13" w16cid:durableId="1287153489">
    <w:abstractNumId w:val="1"/>
  </w:num>
  <w:num w:numId="14" w16cid:durableId="229392895">
    <w:abstractNumId w:val="10"/>
    <w:lvlOverride w:ilvl="0">
      <w:startOverride w:val="8"/>
    </w:lvlOverride>
  </w:num>
  <w:num w:numId="15" w16cid:durableId="363288212">
    <w:abstractNumId w:val="12"/>
  </w:num>
  <w:num w:numId="16" w16cid:durableId="441534522">
    <w:abstractNumId w:val="14"/>
  </w:num>
  <w:num w:numId="17" w16cid:durableId="783116979">
    <w:abstractNumId w:val="11"/>
  </w:num>
  <w:num w:numId="18" w16cid:durableId="1330910053">
    <w:abstractNumId w:val="8"/>
  </w:num>
  <w:num w:numId="19" w16cid:durableId="427428137">
    <w:abstractNumId w:val="16"/>
  </w:num>
  <w:num w:numId="20" w16cid:durableId="143737146">
    <w:abstractNumId w:val="2"/>
  </w:num>
  <w:num w:numId="21" w16cid:durableId="100613498">
    <w:abstractNumId w:val="10"/>
    <w:lvlOverride w:ilvl="0">
      <w:startOverride w:val="2"/>
    </w:lvlOverride>
    <w:lvlOverride w:ilvl="1">
      <w:startOverride w:val="1"/>
    </w:lvlOverride>
  </w:num>
  <w:num w:numId="22" w16cid:durableId="1089739962">
    <w:abstractNumId w:val="10"/>
    <w:lvlOverride w:ilvl="0">
      <w:startOverride w:val="2"/>
    </w:lvlOverride>
    <w:lvlOverride w:ilvl="1">
      <w:startOverride w:val="4"/>
    </w:lvlOverride>
  </w:num>
  <w:num w:numId="23" w16cid:durableId="1896965022">
    <w:abstractNumId w:val="16"/>
    <w:lvlOverride w:ilvl="0">
      <w:startOverride w:val="2"/>
    </w:lvlOverride>
    <w:lvlOverride w:ilvl="1">
      <w:startOverride w:val="5"/>
    </w:lvlOverride>
  </w:num>
  <w:num w:numId="24" w16cid:durableId="1669093439">
    <w:abstractNumId w:val="16"/>
    <w:lvlOverride w:ilvl="0">
      <w:startOverride w:val="6"/>
    </w:lvlOverride>
  </w:num>
  <w:num w:numId="25" w16cid:durableId="1318878505">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SortMethod w:val="0000"/>
  <w:documentProtection w:formatting="1" w:enforcement="0"/>
  <w:styleLockTheme/>
  <w:styleLockQFSet/>
  <w:defaultTabStop w:val="720"/>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I1NTSzsDSxNLGwNDZX0lEKTi0uzszPAykwNKgFAF0eZH0tAAAA"/>
  </w:docVars>
  <w:rsids>
    <w:rsidRoot w:val="00DD36DD"/>
    <w:rsid w:val="000027FD"/>
    <w:rsid w:val="00006C8B"/>
    <w:rsid w:val="00011476"/>
    <w:rsid w:val="000202E1"/>
    <w:rsid w:val="000208D9"/>
    <w:rsid w:val="00021AE4"/>
    <w:rsid w:val="0002275E"/>
    <w:rsid w:val="0002442E"/>
    <w:rsid w:val="00025D78"/>
    <w:rsid w:val="000314DA"/>
    <w:rsid w:val="0003229D"/>
    <w:rsid w:val="00032717"/>
    <w:rsid w:val="0003300D"/>
    <w:rsid w:val="00043625"/>
    <w:rsid w:val="00045D32"/>
    <w:rsid w:val="00050116"/>
    <w:rsid w:val="0005036E"/>
    <w:rsid w:val="00050F0E"/>
    <w:rsid w:val="00051080"/>
    <w:rsid w:val="00053378"/>
    <w:rsid w:val="00054AC2"/>
    <w:rsid w:val="000555C7"/>
    <w:rsid w:val="000568FB"/>
    <w:rsid w:val="000570C1"/>
    <w:rsid w:val="0006090C"/>
    <w:rsid w:val="0006123E"/>
    <w:rsid w:val="00062A37"/>
    <w:rsid w:val="00063A6A"/>
    <w:rsid w:val="00063ACC"/>
    <w:rsid w:val="00063DCE"/>
    <w:rsid w:val="00064694"/>
    <w:rsid w:val="00065CAC"/>
    <w:rsid w:val="0006672C"/>
    <w:rsid w:val="000700D3"/>
    <w:rsid w:val="000737F4"/>
    <w:rsid w:val="000743E6"/>
    <w:rsid w:val="00075217"/>
    <w:rsid w:val="000767E0"/>
    <w:rsid w:val="000822F3"/>
    <w:rsid w:val="000828FC"/>
    <w:rsid w:val="00082A45"/>
    <w:rsid w:val="0008698D"/>
    <w:rsid w:val="0008721E"/>
    <w:rsid w:val="00090215"/>
    <w:rsid w:val="000914CA"/>
    <w:rsid w:val="00093ABF"/>
    <w:rsid w:val="00096B1A"/>
    <w:rsid w:val="00097BF7"/>
    <w:rsid w:val="000A057E"/>
    <w:rsid w:val="000A1DFC"/>
    <w:rsid w:val="000A42EA"/>
    <w:rsid w:val="000A4580"/>
    <w:rsid w:val="000B0D20"/>
    <w:rsid w:val="000B1924"/>
    <w:rsid w:val="000B226C"/>
    <w:rsid w:val="000B30EE"/>
    <w:rsid w:val="000C0176"/>
    <w:rsid w:val="000C26ED"/>
    <w:rsid w:val="000C3F1D"/>
    <w:rsid w:val="000C5B36"/>
    <w:rsid w:val="000C5B5F"/>
    <w:rsid w:val="000C6792"/>
    <w:rsid w:val="000D2EF7"/>
    <w:rsid w:val="000D322E"/>
    <w:rsid w:val="000D635C"/>
    <w:rsid w:val="000D653F"/>
    <w:rsid w:val="000E2511"/>
    <w:rsid w:val="000E598D"/>
    <w:rsid w:val="000F6846"/>
    <w:rsid w:val="000F6E13"/>
    <w:rsid w:val="000F7843"/>
    <w:rsid w:val="001003B6"/>
    <w:rsid w:val="001005DA"/>
    <w:rsid w:val="001044A0"/>
    <w:rsid w:val="0010657F"/>
    <w:rsid w:val="00106757"/>
    <w:rsid w:val="00106D18"/>
    <w:rsid w:val="001071FD"/>
    <w:rsid w:val="00110650"/>
    <w:rsid w:val="00112B56"/>
    <w:rsid w:val="00112D7A"/>
    <w:rsid w:val="00117879"/>
    <w:rsid w:val="001201B3"/>
    <w:rsid w:val="00123B8D"/>
    <w:rsid w:val="00127366"/>
    <w:rsid w:val="00127891"/>
    <w:rsid w:val="00127C74"/>
    <w:rsid w:val="00132DCC"/>
    <w:rsid w:val="00134246"/>
    <w:rsid w:val="0013426D"/>
    <w:rsid w:val="0013485F"/>
    <w:rsid w:val="00135DE5"/>
    <w:rsid w:val="001418A1"/>
    <w:rsid w:val="00143B21"/>
    <w:rsid w:val="001452B5"/>
    <w:rsid w:val="00151D33"/>
    <w:rsid w:val="00155101"/>
    <w:rsid w:val="001575F8"/>
    <w:rsid w:val="00157FB3"/>
    <w:rsid w:val="0016016C"/>
    <w:rsid w:val="001619A1"/>
    <w:rsid w:val="00161C76"/>
    <w:rsid w:val="00164CC1"/>
    <w:rsid w:val="00166C1C"/>
    <w:rsid w:val="0017418C"/>
    <w:rsid w:val="001741F1"/>
    <w:rsid w:val="001743F7"/>
    <w:rsid w:val="00174930"/>
    <w:rsid w:val="00175DCE"/>
    <w:rsid w:val="00176180"/>
    <w:rsid w:val="00176608"/>
    <w:rsid w:val="001809FD"/>
    <w:rsid w:val="00181D4B"/>
    <w:rsid w:val="00195D28"/>
    <w:rsid w:val="00196ED6"/>
    <w:rsid w:val="001A136F"/>
    <w:rsid w:val="001A291F"/>
    <w:rsid w:val="001A385A"/>
    <w:rsid w:val="001A6EAB"/>
    <w:rsid w:val="001A7A92"/>
    <w:rsid w:val="001A7DA0"/>
    <w:rsid w:val="001B2535"/>
    <w:rsid w:val="001B5051"/>
    <w:rsid w:val="001B6A9F"/>
    <w:rsid w:val="001B7659"/>
    <w:rsid w:val="001C0BC7"/>
    <w:rsid w:val="001C39C9"/>
    <w:rsid w:val="001D1205"/>
    <w:rsid w:val="001D213B"/>
    <w:rsid w:val="001D5A82"/>
    <w:rsid w:val="001E0D9C"/>
    <w:rsid w:val="001E1158"/>
    <w:rsid w:val="001E168E"/>
    <w:rsid w:val="001E23BC"/>
    <w:rsid w:val="001E376F"/>
    <w:rsid w:val="001E5954"/>
    <w:rsid w:val="001E5CBE"/>
    <w:rsid w:val="001E7A05"/>
    <w:rsid w:val="001F01DC"/>
    <w:rsid w:val="001F1C8D"/>
    <w:rsid w:val="001F2B07"/>
    <w:rsid w:val="001F5D16"/>
    <w:rsid w:val="00204BF4"/>
    <w:rsid w:val="00207052"/>
    <w:rsid w:val="002075A4"/>
    <w:rsid w:val="00210791"/>
    <w:rsid w:val="00213FEF"/>
    <w:rsid w:val="00216E69"/>
    <w:rsid w:val="00220D79"/>
    <w:rsid w:val="00225B4A"/>
    <w:rsid w:val="00226C77"/>
    <w:rsid w:val="00230857"/>
    <w:rsid w:val="00232E5B"/>
    <w:rsid w:val="00234E80"/>
    <w:rsid w:val="002371BE"/>
    <w:rsid w:val="00243283"/>
    <w:rsid w:val="0024328C"/>
    <w:rsid w:val="00246B7A"/>
    <w:rsid w:val="00251846"/>
    <w:rsid w:val="00253256"/>
    <w:rsid w:val="002617BA"/>
    <w:rsid w:val="00266295"/>
    <w:rsid w:val="00270452"/>
    <w:rsid w:val="002722FC"/>
    <w:rsid w:val="0027557F"/>
    <w:rsid w:val="00276FAA"/>
    <w:rsid w:val="00280C82"/>
    <w:rsid w:val="0028278E"/>
    <w:rsid w:val="00283DF5"/>
    <w:rsid w:val="00286B3C"/>
    <w:rsid w:val="00287452"/>
    <w:rsid w:val="002922C1"/>
    <w:rsid w:val="00292910"/>
    <w:rsid w:val="00293429"/>
    <w:rsid w:val="00294938"/>
    <w:rsid w:val="00294C86"/>
    <w:rsid w:val="002961B4"/>
    <w:rsid w:val="00296EED"/>
    <w:rsid w:val="002A1489"/>
    <w:rsid w:val="002A1E83"/>
    <w:rsid w:val="002A3357"/>
    <w:rsid w:val="002A368C"/>
    <w:rsid w:val="002A3CA3"/>
    <w:rsid w:val="002A53BB"/>
    <w:rsid w:val="002A5709"/>
    <w:rsid w:val="002A7096"/>
    <w:rsid w:val="002B1CB4"/>
    <w:rsid w:val="002B2F78"/>
    <w:rsid w:val="002B47F8"/>
    <w:rsid w:val="002B4C5B"/>
    <w:rsid w:val="002C1AA4"/>
    <w:rsid w:val="002C1D2B"/>
    <w:rsid w:val="002C427E"/>
    <w:rsid w:val="002C4F89"/>
    <w:rsid w:val="002C7C2B"/>
    <w:rsid w:val="002D45A0"/>
    <w:rsid w:val="002E0489"/>
    <w:rsid w:val="002E3469"/>
    <w:rsid w:val="002E41D1"/>
    <w:rsid w:val="002E7B06"/>
    <w:rsid w:val="002F05F7"/>
    <w:rsid w:val="002F11A3"/>
    <w:rsid w:val="002F1E34"/>
    <w:rsid w:val="002F1FB4"/>
    <w:rsid w:val="002F5BA2"/>
    <w:rsid w:val="002F6A72"/>
    <w:rsid w:val="0030115E"/>
    <w:rsid w:val="0030130B"/>
    <w:rsid w:val="0030164E"/>
    <w:rsid w:val="00301F6B"/>
    <w:rsid w:val="00303BB4"/>
    <w:rsid w:val="00304A1D"/>
    <w:rsid w:val="003072DA"/>
    <w:rsid w:val="003142DD"/>
    <w:rsid w:val="00315C75"/>
    <w:rsid w:val="00320A17"/>
    <w:rsid w:val="00326DE4"/>
    <w:rsid w:val="00326F3D"/>
    <w:rsid w:val="003310A9"/>
    <w:rsid w:val="003328C8"/>
    <w:rsid w:val="00332C9F"/>
    <w:rsid w:val="0033574C"/>
    <w:rsid w:val="003366D6"/>
    <w:rsid w:val="003371A0"/>
    <w:rsid w:val="003419B5"/>
    <w:rsid w:val="00342802"/>
    <w:rsid w:val="003431FF"/>
    <w:rsid w:val="00343343"/>
    <w:rsid w:val="00345C8A"/>
    <w:rsid w:val="003463FB"/>
    <w:rsid w:val="00346DAE"/>
    <w:rsid w:val="00347946"/>
    <w:rsid w:val="003504BB"/>
    <w:rsid w:val="00353C0D"/>
    <w:rsid w:val="003544DE"/>
    <w:rsid w:val="00355706"/>
    <w:rsid w:val="00360B6B"/>
    <w:rsid w:val="00360C06"/>
    <w:rsid w:val="003618A8"/>
    <w:rsid w:val="00361E4C"/>
    <w:rsid w:val="00362B0C"/>
    <w:rsid w:val="00371B3B"/>
    <w:rsid w:val="00376388"/>
    <w:rsid w:val="00376685"/>
    <w:rsid w:val="00376BBC"/>
    <w:rsid w:val="0038168A"/>
    <w:rsid w:val="003824E8"/>
    <w:rsid w:val="00382689"/>
    <w:rsid w:val="00382D4A"/>
    <w:rsid w:val="003835DB"/>
    <w:rsid w:val="00390095"/>
    <w:rsid w:val="003942B1"/>
    <w:rsid w:val="0039525D"/>
    <w:rsid w:val="0039641C"/>
    <w:rsid w:val="0039707D"/>
    <w:rsid w:val="003A012E"/>
    <w:rsid w:val="003A082D"/>
    <w:rsid w:val="003A275C"/>
    <w:rsid w:val="003A2D93"/>
    <w:rsid w:val="003A3BBB"/>
    <w:rsid w:val="003A5359"/>
    <w:rsid w:val="003A5828"/>
    <w:rsid w:val="003B0B39"/>
    <w:rsid w:val="003B1F13"/>
    <w:rsid w:val="003B2541"/>
    <w:rsid w:val="003B25C2"/>
    <w:rsid w:val="003B3CD8"/>
    <w:rsid w:val="003B686E"/>
    <w:rsid w:val="003C0A7B"/>
    <w:rsid w:val="003C1493"/>
    <w:rsid w:val="003C2F58"/>
    <w:rsid w:val="003C549D"/>
    <w:rsid w:val="003C6DEB"/>
    <w:rsid w:val="003D04F5"/>
    <w:rsid w:val="003D0792"/>
    <w:rsid w:val="003E0D14"/>
    <w:rsid w:val="003E1AE7"/>
    <w:rsid w:val="003E1FC8"/>
    <w:rsid w:val="003E2F9E"/>
    <w:rsid w:val="003E5FDB"/>
    <w:rsid w:val="003E6A0B"/>
    <w:rsid w:val="003E78CA"/>
    <w:rsid w:val="003F0CBB"/>
    <w:rsid w:val="003F17B2"/>
    <w:rsid w:val="003F4C57"/>
    <w:rsid w:val="003F6B44"/>
    <w:rsid w:val="004000AB"/>
    <w:rsid w:val="0040116C"/>
    <w:rsid w:val="004019B4"/>
    <w:rsid w:val="00402650"/>
    <w:rsid w:val="00403369"/>
    <w:rsid w:val="00404D54"/>
    <w:rsid w:val="00404FBA"/>
    <w:rsid w:val="00405119"/>
    <w:rsid w:val="0040598E"/>
    <w:rsid w:val="00406D35"/>
    <w:rsid w:val="00407EC1"/>
    <w:rsid w:val="004100CB"/>
    <w:rsid w:val="004171E1"/>
    <w:rsid w:val="0041786F"/>
    <w:rsid w:val="00422DED"/>
    <w:rsid w:val="004232AD"/>
    <w:rsid w:val="00427D8B"/>
    <w:rsid w:val="0043036E"/>
    <w:rsid w:val="00431EB9"/>
    <w:rsid w:val="0043407A"/>
    <w:rsid w:val="004408B3"/>
    <w:rsid w:val="00443D9E"/>
    <w:rsid w:val="004478E9"/>
    <w:rsid w:val="004545E2"/>
    <w:rsid w:val="00461452"/>
    <w:rsid w:val="00464E76"/>
    <w:rsid w:val="00465506"/>
    <w:rsid w:val="00466C83"/>
    <w:rsid w:val="00466E5D"/>
    <w:rsid w:val="004732AD"/>
    <w:rsid w:val="004809DA"/>
    <w:rsid w:val="00483CAD"/>
    <w:rsid w:val="0048684A"/>
    <w:rsid w:val="00486E91"/>
    <w:rsid w:val="00491CD8"/>
    <w:rsid w:val="00492165"/>
    <w:rsid w:val="00496229"/>
    <w:rsid w:val="004A2807"/>
    <w:rsid w:val="004A591A"/>
    <w:rsid w:val="004A76AF"/>
    <w:rsid w:val="004A7DCE"/>
    <w:rsid w:val="004B0473"/>
    <w:rsid w:val="004B21BC"/>
    <w:rsid w:val="004B26A3"/>
    <w:rsid w:val="004B361B"/>
    <w:rsid w:val="004B44FE"/>
    <w:rsid w:val="004B5426"/>
    <w:rsid w:val="004B6C87"/>
    <w:rsid w:val="004C0891"/>
    <w:rsid w:val="004C2CA1"/>
    <w:rsid w:val="004C2EF9"/>
    <w:rsid w:val="004C3357"/>
    <w:rsid w:val="004C36F2"/>
    <w:rsid w:val="004C3F75"/>
    <w:rsid w:val="004C5998"/>
    <w:rsid w:val="004C5C1B"/>
    <w:rsid w:val="004C6DF6"/>
    <w:rsid w:val="004C7C18"/>
    <w:rsid w:val="004C7D96"/>
    <w:rsid w:val="004D0967"/>
    <w:rsid w:val="004D10F4"/>
    <w:rsid w:val="004D6837"/>
    <w:rsid w:val="004D72A0"/>
    <w:rsid w:val="004E0576"/>
    <w:rsid w:val="004E090C"/>
    <w:rsid w:val="004E0EA4"/>
    <w:rsid w:val="004E1B4E"/>
    <w:rsid w:val="004E2853"/>
    <w:rsid w:val="004E360A"/>
    <w:rsid w:val="004E4857"/>
    <w:rsid w:val="004E69B8"/>
    <w:rsid w:val="004E7348"/>
    <w:rsid w:val="004E7A32"/>
    <w:rsid w:val="004E7D58"/>
    <w:rsid w:val="004F0587"/>
    <w:rsid w:val="004F10C3"/>
    <w:rsid w:val="004F27F8"/>
    <w:rsid w:val="004F3F88"/>
    <w:rsid w:val="004F44D7"/>
    <w:rsid w:val="004F65FB"/>
    <w:rsid w:val="004F6DDD"/>
    <w:rsid w:val="00501D98"/>
    <w:rsid w:val="00502CB7"/>
    <w:rsid w:val="00502D33"/>
    <w:rsid w:val="00503EEB"/>
    <w:rsid w:val="005054DE"/>
    <w:rsid w:val="005064AC"/>
    <w:rsid w:val="00506B04"/>
    <w:rsid w:val="00510FAB"/>
    <w:rsid w:val="00514CEE"/>
    <w:rsid w:val="00516AB0"/>
    <w:rsid w:val="005170CE"/>
    <w:rsid w:val="005217A9"/>
    <w:rsid w:val="005219F8"/>
    <w:rsid w:val="005236F9"/>
    <w:rsid w:val="00526937"/>
    <w:rsid w:val="00526AFA"/>
    <w:rsid w:val="00531601"/>
    <w:rsid w:val="0053195B"/>
    <w:rsid w:val="00532940"/>
    <w:rsid w:val="00537A9C"/>
    <w:rsid w:val="00537F47"/>
    <w:rsid w:val="00540031"/>
    <w:rsid w:val="005412E0"/>
    <w:rsid w:val="00547B85"/>
    <w:rsid w:val="00552FAE"/>
    <w:rsid w:val="00553D03"/>
    <w:rsid w:val="00553D54"/>
    <w:rsid w:val="00560CD7"/>
    <w:rsid w:val="0056259C"/>
    <w:rsid w:val="005630D5"/>
    <w:rsid w:val="00563332"/>
    <w:rsid w:val="00564CE7"/>
    <w:rsid w:val="005659C3"/>
    <w:rsid w:val="00571F04"/>
    <w:rsid w:val="00573A59"/>
    <w:rsid w:val="005768FF"/>
    <w:rsid w:val="00576EA7"/>
    <w:rsid w:val="00577E32"/>
    <w:rsid w:val="005840FE"/>
    <w:rsid w:val="005846EB"/>
    <w:rsid w:val="00585402"/>
    <w:rsid w:val="005858D9"/>
    <w:rsid w:val="00586540"/>
    <w:rsid w:val="00586CAE"/>
    <w:rsid w:val="00586E6A"/>
    <w:rsid w:val="00587532"/>
    <w:rsid w:val="00591466"/>
    <w:rsid w:val="00592480"/>
    <w:rsid w:val="00594B24"/>
    <w:rsid w:val="0059515B"/>
    <w:rsid w:val="00596B43"/>
    <w:rsid w:val="005978B7"/>
    <w:rsid w:val="005A03F8"/>
    <w:rsid w:val="005A611A"/>
    <w:rsid w:val="005A6A09"/>
    <w:rsid w:val="005A7D90"/>
    <w:rsid w:val="005B0324"/>
    <w:rsid w:val="005B2023"/>
    <w:rsid w:val="005B29E6"/>
    <w:rsid w:val="005B3045"/>
    <w:rsid w:val="005B3B0D"/>
    <w:rsid w:val="005C1E5C"/>
    <w:rsid w:val="005C339A"/>
    <w:rsid w:val="005C6770"/>
    <w:rsid w:val="005C77D6"/>
    <w:rsid w:val="005C7E01"/>
    <w:rsid w:val="005D016F"/>
    <w:rsid w:val="005D066C"/>
    <w:rsid w:val="005D0CDE"/>
    <w:rsid w:val="005D3601"/>
    <w:rsid w:val="005D6FE0"/>
    <w:rsid w:val="005E3548"/>
    <w:rsid w:val="005E39A4"/>
    <w:rsid w:val="005E3EF9"/>
    <w:rsid w:val="005E58EC"/>
    <w:rsid w:val="005E5B1E"/>
    <w:rsid w:val="005F29FB"/>
    <w:rsid w:val="005F3F08"/>
    <w:rsid w:val="005F4D02"/>
    <w:rsid w:val="005F6B7A"/>
    <w:rsid w:val="005F6E1A"/>
    <w:rsid w:val="005F7211"/>
    <w:rsid w:val="005F7590"/>
    <w:rsid w:val="00601921"/>
    <w:rsid w:val="00604284"/>
    <w:rsid w:val="00611D4F"/>
    <w:rsid w:val="006126E7"/>
    <w:rsid w:val="00614DBA"/>
    <w:rsid w:val="00615813"/>
    <w:rsid w:val="006170A8"/>
    <w:rsid w:val="00621052"/>
    <w:rsid w:val="00623B94"/>
    <w:rsid w:val="00625760"/>
    <w:rsid w:val="006304B1"/>
    <w:rsid w:val="00631835"/>
    <w:rsid w:val="006343DE"/>
    <w:rsid w:val="00634FB8"/>
    <w:rsid w:val="00635836"/>
    <w:rsid w:val="006366E4"/>
    <w:rsid w:val="00637D4B"/>
    <w:rsid w:val="0064052E"/>
    <w:rsid w:val="00641A7B"/>
    <w:rsid w:val="006436BE"/>
    <w:rsid w:val="00644414"/>
    <w:rsid w:val="006456E2"/>
    <w:rsid w:val="00650962"/>
    <w:rsid w:val="006521F2"/>
    <w:rsid w:val="00652EB3"/>
    <w:rsid w:val="00655F94"/>
    <w:rsid w:val="006567EF"/>
    <w:rsid w:val="00656994"/>
    <w:rsid w:val="00657E13"/>
    <w:rsid w:val="006605A3"/>
    <w:rsid w:val="00664373"/>
    <w:rsid w:val="00665243"/>
    <w:rsid w:val="0066594B"/>
    <w:rsid w:val="00666818"/>
    <w:rsid w:val="006675C0"/>
    <w:rsid w:val="006677B7"/>
    <w:rsid w:val="00672595"/>
    <w:rsid w:val="006729B9"/>
    <w:rsid w:val="00673205"/>
    <w:rsid w:val="006754F8"/>
    <w:rsid w:val="00677E3B"/>
    <w:rsid w:val="006806AC"/>
    <w:rsid w:val="0068108D"/>
    <w:rsid w:val="00681A9F"/>
    <w:rsid w:val="006851B6"/>
    <w:rsid w:val="00685479"/>
    <w:rsid w:val="00685741"/>
    <w:rsid w:val="00694993"/>
    <w:rsid w:val="00694A13"/>
    <w:rsid w:val="006A09D8"/>
    <w:rsid w:val="006A27DD"/>
    <w:rsid w:val="006A2F27"/>
    <w:rsid w:val="006A3861"/>
    <w:rsid w:val="006A4DED"/>
    <w:rsid w:val="006A55A6"/>
    <w:rsid w:val="006B2A9F"/>
    <w:rsid w:val="006B56A9"/>
    <w:rsid w:val="006B64AA"/>
    <w:rsid w:val="006C0A22"/>
    <w:rsid w:val="006C1770"/>
    <w:rsid w:val="006C1D69"/>
    <w:rsid w:val="006C7830"/>
    <w:rsid w:val="006D09B9"/>
    <w:rsid w:val="006D4DAA"/>
    <w:rsid w:val="006D5536"/>
    <w:rsid w:val="006E0659"/>
    <w:rsid w:val="006E3E25"/>
    <w:rsid w:val="006E4771"/>
    <w:rsid w:val="006E54F3"/>
    <w:rsid w:val="006E5519"/>
    <w:rsid w:val="006E6171"/>
    <w:rsid w:val="006F1C7E"/>
    <w:rsid w:val="006F3D43"/>
    <w:rsid w:val="006F643F"/>
    <w:rsid w:val="006F698D"/>
    <w:rsid w:val="00700FE4"/>
    <w:rsid w:val="007034F3"/>
    <w:rsid w:val="00704B80"/>
    <w:rsid w:val="00706AB3"/>
    <w:rsid w:val="00710325"/>
    <w:rsid w:val="00710AA6"/>
    <w:rsid w:val="00710AF9"/>
    <w:rsid w:val="00713DB4"/>
    <w:rsid w:val="00714964"/>
    <w:rsid w:val="007206A8"/>
    <w:rsid w:val="00720D97"/>
    <w:rsid w:val="00721BC9"/>
    <w:rsid w:val="0072428A"/>
    <w:rsid w:val="007243EE"/>
    <w:rsid w:val="00732BF7"/>
    <w:rsid w:val="00733D25"/>
    <w:rsid w:val="007416CF"/>
    <w:rsid w:val="00747161"/>
    <w:rsid w:val="00753D36"/>
    <w:rsid w:val="007544E3"/>
    <w:rsid w:val="00754D90"/>
    <w:rsid w:val="00755BFE"/>
    <w:rsid w:val="00762816"/>
    <w:rsid w:val="007639B5"/>
    <w:rsid w:val="00763FCD"/>
    <w:rsid w:val="00765C97"/>
    <w:rsid w:val="00765DB7"/>
    <w:rsid w:val="00766639"/>
    <w:rsid w:val="007678FF"/>
    <w:rsid w:val="0077702D"/>
    <w:rsid w:val="00777478"/>
    <w:rsid w:val="00780900"/>
    <w:rsid w:val="0078138B"/>
    <w:rsid w:val="00782305"/>
    <w:rsid w:val="00782489"/>
    <w:rsid w:val="007825E0"/>
    <w:rsid w:val="00784BAE"/>
    <w:rsid w:val="007867C4"/>
    <w:rsid w:val="00786C95"/>
    <w:rsid w:val="00787317"/>
    <w:rsid w:val="0078796D"/>
    <w:rsid w:val="00787B01"/>
    <w:rsid w:val="00787F2B"/>
    <w:rsid w:val="007905B3"/>
    <w:rsid w:val="00793205"/>
    <w:rsid w:val="007939BF"/>
    <w:rsid w:val="007A1392"/>
    <w:rsid w:val="007A5E73"/>
    <w:rsid w:val="007A64D9"/>
    <w:rsid w:val="007B1DF1"/>
    <w:rsid w:val="007B495C"/>
    <w:rsid w:val="007B4D7D"/>
    <w:rsid w:val="007B4E57"/>
    <w:rsid w:val="007B6273"/>
    <w:rsid w:val="007B6FFB"/>
    <w:rsid w:val="007C20B4"/>
    <w:rsid w:val="007C239B"/>
    <w:rsid w:val="007C48DB"/>
    <w:rsid w:val="007C6BAA"/>
    <w:rsid w:val="007D0415"/>
    <w:rsid w:val="007D0448"/>
    <w:rsid w:val="007D3F14"/>
    <w:rsid w:val="007E09E2"/>
    <w:rsid w:val="007E1608"/>
    <w:rsid w:val="007E2D14"/>
    <w:rsid w:val="007E31E4"/>
    <w:rsid w:val="007E5649"/>
    <w:rsid w:val="007F02EC"/>
    <w:rsid w:val="007F23D8"/>
    <w:rsid w:val="007F2AC1"/>
    <w:rsid w:val="007F2C05"/>
    <w:rsid w:val="007F64D4"/>
    <w:rsid w:val="007F696E"/>
    <w:rsid w:val="007F73AF"/>
    <w:rsid w:val="00800843"/>
    <w:rsid w:val="00802182"/>
    <w:rsid w:val="0080543D"/>
    <w:rsid w:val="00805A9A"/>
    <w:rsid w:val="00806B87"/>
    <w:rsid w:val="00811A26"/>
    <w:rsid w:val="008134E8"/>
    <w:rsid w:val="00814677"/>
    <w:rsid w:val="00814B11"/>
    <w:rsid w:val="008150F2"/>
    <w:rsid w:val="00817A4C"/>
    <w:rsid w:val="00817C6A"/>
    <w:rsid w:val="008204C0"/>
    <w:rsid w:val="00821661"/>
    <w:rsid w:val="00821AF5"/>
    <w:rsid w:val="00825889"/>
    <w:rsid w:val="008269DF"/>
    <w:rsid w:val="00834A14"/>
    <w:rsid w:val="0083597A"/>
    <w:rsid w:val="00836043"/>
    <w:rsid w:val="00842DBA"/>
    <w:rsid w:val="00850628"/>
    <w:rsid w:val="008529AB"/>
    <w:rsid w:val="00853529"/>
    <w:rsid w:val="00857E02"/>
    <w:rsid w:val="008604CD"/>
    <w:rsid w:val="00864E87"/>
    <w:rsid w:val="00866CAF"/>
    <w:rsid w:val="008701A4"/>
    <w:rsid w:val="00871378"/>
    <w:rsid w:val="00871708"/>
    <w:rsid w:val="00872B9F"/>
    <w:rsid w:val="00873F8B"/>
    <w:rsid w:val="008769D3"/>
    <w:rsid w:val="008802CA"/>
    <w:rsid w:val="00881978"/>
    <w:rsid w:val="00881B6C"/>
    <w:rsid w:val="0088210E"/>
    <w:rsid w:val="008867DD"/>
    <w:rsid w:val="00887154"/>
    <w:rsid w:val="00890545"/>
    <w:rsid w:val="008913A0"/>
    <w:rsid w:val="0089325A"/>
    <w:rsid w:val="00893D69"/>
    <w:rsid w:val="00894CD9"/>
    <w:rsid w:val="00894E68"/>
    <w:rsid w:val="00897900"/>
    <w:rsid w:val="00897914"/>
    <w:rsid w:val="008A1339"/>
    <w:rsid w:val="008A639C"/>
    <w:rsid w:val="008A7ED0"/>
    <w:rsid w:val="008B00C6"/>
    <w:rsid w:val="008B0187"/>
    <w:rsid w:val="008B1E76"/>
    <w:rsid w:val="008B26EB"/>
    <w:rsid w:val="008B3462"/>
    <w:rsid w:val="008B6421"/>
    <w:rsid w:val="008B7E77"/>
    <w:rsid w:val="008C14EF"/>
    <w:rsid w:val="008C2A37"/>
    <w:rsid w:val="008C552F"/>
    <w:rsid w:val="008D04CA"/>
    <w:rsid w:val="008D09BF"/>
    <w:rsid w:val="008D135F"/>
    <w:rsid w:val="008D2E33"/>
    <w:rsid w:val="008D59B2"/>
    <w:rsid w:val="008D7341"/>
    <w:rsid w:val="008D7CA5"/>
    <w:rsid w:val="008E12EF"/>
    <w:rsid w:val="008E305A"/>
    <w:rsid w:val="008E5BF1"/>
    <w:rsid w:val="008E5F4B"/>
    <w:rsid w:val="008E603F"/>
    <w:rsid w:val="008E6226"/>
    <w:rsid w:val="008F428A"/>
    <w:rsid w:val="008F47F4"/>
    <w:rsid w:val="008F590E"/>
    <w:rsid w:val="008F6A11"/>
    <w:rsid w:val="008F6F7B"/>
    <w:rsid w:val="008F719C"/>
    <w:rsid w:val="008F7A93"/>
    <w:rsid w:val="009011A3"/>
    <w:rsid w:val="00903CC4"/>
    <w:rsid w:val="00903E88"/>
    <w:rsid w:val="00903F37"/>
    <w:rsid w:val="00904F78"/>
    <w:rsid w:val="00907E64"/>
    <w:rsid w:val="00912474"/>
    <w:rsid w:val="00913A94"/>
    <w:rsid w:val="0091679E"/>
    <w:rsid w:val="00916CA6"/>
    <w:rsid w:val="00923306"/>
    <w:rsid w:val="00926771"/>
    <w:rsid w:val="00930F39"/>
    <w:rsid w:val="00931E27"/>
    <w:rsid w:val="00932047"/>
    <w:rsid w:val="009336EE"/>
    <w:rsid w:val="00933A30"/>
    <w:rsid w:val="00934348"/>
    <w:rsid w:val="00936CEE"/>
    <w:rsid w:val="00943B64"/>
    <w:rsid w:val="00943BFC"/>
    <w:rsid w:val="00943DD0"/>
    <w:rsid w:val="00945F0B"/>
    <w:rsid w:val="009476B3"/>
    <w:rsid w:val="0095414F"/>
    <w:rsid w:val="00954AC9"/>
    <w:rsid w:val="00957099"/>
    <w:rsid w:val="009576BE"/>
    <w:rsid w:val="00964212"/>
    <w:rsid w:val="00964796"/>
    <w:rsid w:val="009663BF"/>
    <w:rsid w:val="00970F35"/>
    <w:rsid w:val="00973134"/>
    <w:rsid w:val="00974FEB"/>
    <w:rsid w:val="00976F29"/>
    <w:rsid w:val="00984DFC"/>
    <w:rsid w:val="00991BB8"/>
    <w:rsid w:val="0099250A"/>
    <w:rsid w:val="0099344A"/>
    <w:rsid w:val="009A1E80"/>
    <w:rsid w:val="009A2E89"/>
    <w:rsid w:val="009A56DD"/>
    <w:rsid w:val="009A5AA5"/>
    <w:rsid w:val="009A6707"/>
    <w:rsid w:val="009A6749"/>
    <w:rsid w:val="009A7D6E"/>
    <w:rsid w:val="009B2604"/>
    <w:rsid w:val="009B3CC6"/>
    <w:rsid w:val="009B6B61"/>
    <w:rsid w:val="009C1250"/>
    <w:rsid w:val="009C2F4F"/>
    <w:rsid w:val="009C3564"/>
    <w:rsid w:val="009C69C3"/>
    <w:rsid w:val="009D09D6"/>
    <w:rsid w:val="009D1F3E"/>
    <w:rsid w:val="009D275C"/>
    <w:rsid w:val="009D3B28"/>
    <w:rsid w:val="009D3C68"/>
    <w:rsid w:val="009D3EC8"/>
    <w:rsid w:val="009D4B64"/>
    <w:rsid w:val="009D5B72"/>
    <w:rsid w:val="009D5EDE"/>
    <w:rsid w:val="009D61CD"/>
    <w:rsid w:val="009E2A67"/>
    <w:rsid w:val="009E3CDF"/>
    <w:rsid w:val="009E598A"/>
    <w:rsid w:val="009E5EF9"/>
    <w:rsid w:val="009E79C4"/>
    <w:rsid w:val="009F0F9B"/>
    <w:rsid w:val="009F4413"/>
    <w:rsid w:val="00A01380"/>
    <w:rsid w:val="00A03C2A"/>
    <w:rsid w:val="00A11991"/>
    <w:rsid w:val="00A12EE8"/>
    <w:rsid w:val="00A13867"/>
    <w:rsid w:val="00A13D06"/>
    <w:rsid w:val="00A14144"/>
    <w:rsid w:val="00A1523C"/>
    <w:rsid w:val="00A1525D"/>
    <w:rsid w:val="00A165DF"/>
    <w:rsid w:val="00A17961"/>
    <w:rsid w:val="00A20535"/>
    <w:rsid w:val="00A22DAA"/>
    <w:rsid w:val="00A23220"/>
    <w:rsid w:val="00A2561E"/>
    <w:rsid w:val="00A273E0"/>
    <w:rsid w:val="00A30270"/>
    <w:rsid w:val="00A32CD9"/>
    <w:rsid w:val="00A34000"/>
    <w:rsid w:val="00A448FD"/>
    <w:rsid w:val="00A44EC5"/>
    <w:rsid w:val="00A452B7"/>
    <w:rsid w:val="00A456A9"/>
    <w:rsid w:val="00A471C3"/>
    <w:rsid w:val="00A51CE9"/>
    <w:rsid w:val="00A57090"/>
    <w:rsid w:val="00A578D8"/>
    <w:rsid w:val="00A639AD"/>
    <w:rsid w:val="00A647F1"/>
    <w:rsid w:val="00A6499F"/>
    <w:rsid w:val="00A6610C"/>
    <w:rsid w:val="00A70E7E"/>
    <w:rsid w:val="00A7550A"/>
    <w:rsid w:val="00A76AB4"/>
    <w:rsid w:val="00A7759C"/>
    <w:rsid w:val="00A804A2"/>
    <w:rsid w:val="00A826B5"/>
    <w:rsid w:val="00A87300"/>
    <w:rsid w:val="00A8772C"/>
    <w:rsid w:val="00A905C5"/>
    <w:rsid w:val="00A93276"/>
    <w:rsid w:val="00A94395"/>
    <w:rsid w:val="00A9534B"/>
    <w:rsid w:val="00A95F95"/>
    <w:rsid w:val="00A96158"/>
    <w:rsid w:val="00A96A96"/>
    <w:rsid w:val="00A97023"/>
    <w:rsid w:val="00AB0667"/>
    <w:rsid w:val="00AB0E5F"/>
    <w:rsid w:val="00AB4153"/>
    <w:rsid w:val="00AB5D4F"/>
    <w:rsid w:val="00AB636D"/>
    <w:rsid w:val="00AB7CDF"/>
    <w:rsid w:val="00AC1291"/>
    <w:rsid w:val="00AC3137"/>
    <w:rsid w:val="00AC5085"/>
    <w:rsid w:val="00AC7145"/>
    <w:rsid w:val="00AD2935"/>
    <w:rsid w:val="00AD3D51"/>
    <w:rsid w:val="00AE0BC6"/>
    <w:rsid w:val="00AE3374"/>
    <w:rsid w:val="00AE3D5E"/>
    <w:rsid w:val="00AE6652"/>
    <w:rsid w:val="00AE69E0"/>
    <w:rsid w:val="00AF2A8C"/>
    <w:rsid w:val="00AF2B4B"/>
    <w:rsid w:val="00AF330A"/>
    <w:rsid w:val="00AF3409"/>
    <w:rsid w:val="00AF489A"/>
    <w:rsid w:val="00AF69EF"/>
    <w:rsid w:val="00AF6B88"/>
    <w:rsid w:val="00AF793C"/>
    <w:rsid w:val="00AF7980"/>
    <w:rsid w:val="00B01555"/>
    <w:rsid w:val="00B04A18"/>
    <w:rsid w:val="00B05062"/>
    <w:rsid w:val="00B05FBF"/>
    <w:rsid w:val="00B060A4"/>
    <w:rsid w:val="00B065A1"/>
    <w:rsid w:val="00B07E26"/>
    <w:rsid w:val="00B104AA"/>
    <w:rsid w:val="00B1110B"/>
    <w:rsid w:val="00B12D41"/>
    <w:rsid w:val="00B12F67"/>
    <w:rsid w:val="00B13906"/>
    <w:rsid w:val="00B147B5"/>
    <w:rsid w:val="00B172C3"/>
    <w:rsid w:val="00B20BED"/>
    <w:rsid w:val="00B24DA0"/>
    <w:rsid w:val="00B308F0"/>
    <w:rsid w:val="00B34D5F"/>
    <w:rsid w:val="00B35497"/>
    <w:rsid w:val="00B365CF"/>
    <w:rsid w:val="00B41213"/>
    <w:rsid w:val="00B42B1A"/>
    <w:rsid w:val="00B442DF"/>
    <w:rsid w:val="00B45C8B"/>
    <w:rsid w:val="00B463B8"/>
    <w:rsid w:val="00B47437"/>
    <w:rsid w:val="00B50803"/>
    <w:rsid w:val="00B51386"/>
    <w:rsid w:val="00B52063"/>
    <w:rsid w:val="00B530FE"/>
    <w:rsid w:val="00B535F3"/>
    <w:rsid w:val="00B55604"/>
    <w:rsid w:val="00B559F4"/>
    <w:rsid w:val="00B600BD"/>
    <w:rsid w:val="00B63C45"/>
    <w:rsid w:val="00B659E1"/>
    <w:rsid w:val="00B67A5F"/>
    <w:rsid w:val="00B75099"/>
    <w:rsid w:val="00B767B3"/>
    <w:rsid w:val="00B7772D"/>
    <w:rsid w:val="00B808B1"/>
    <w:rsid w:val="00B809BD"/>
    <w:rsid w:val="00B819AA"/>
    <w:rsid w:val="00B82ADD"/>
    <w:rsid w:val="00B831F4"/>
    <w:rsid w:val="00B83EB7"/>
    <w:rsid w:val="00B851F5"/>
    <w:rsid w:val="00B86294"/>
    <w:rsid w:val="00B862F8"/>
    <w:rsid w:val="00B87DC1"/>
    <w:rsid w:val="00B93E95"/>
    <w:rsid w:val="00B97063"/>
    <w:rsid w:val="00BA0672"/>
    <w:rsid w:val="00BA11DE"/>
    <w:rsid w:val="00BA1FCB"/>
    <w:rsid w:val="00BA3FB0"/>
    <w:rsid w:val="00BA7C58"/>
    <w:rsid w:val="00BB20A8"/>
    <w:rsid w:val="00BB652D"/>
    <w:rsid w:val="00BB7CD9"/>
    <w:rsid w:val="00BC00D8"/>
    <w:rsid w:val="00BC19FE"/>
    <w:rsid w:val="00BC2B77"/>
    <w:rsid w:val="00BC2FD4"/>
    <w:rsid w:val="00BC3848"/>
    <w:rsid w:val="00BC3D0F"/>
    <w:rsid w:val="00BC4ABE"/>
    <w:rsid w:val="00BC5328"/>
    <w:rsid w:val="00BD0801"/>
    <w:rsid w:val="00BD08F8"/>
    <w:rsid w:val="00BD2246"/>
    <w:rsid w:val="00BD52F5"/>
    <w:rsid w:val="00BD547D"/>
    <w:rsid w:val="00BD57AD"/>
    <w:rsid w:val="00BD5ED4"/>
    <w:rsid w:val="00BD6156"/>
    <w:rsid w:val="00BE02A1"/>
    <w:rsid w:val="00BE105B"/>
    <w:rsid w:val="00BE2FA4"/>
    <w:rsid w:val="00BE3553"/>
    <w:rsid w:val="00BE4CCF"/>
    <w:rsid w:val="00BE4E6A"/>
    <w:rsid w:val="00BE6D89"/>
    <w:rsid w:val="00BF1E43"/>
    <w:rsid w:val="00BF4489"/>
    <w:rsid w:val="00BF4AE0"/>
    <w:rsid w:val="00C0290E"/>
    <w:rsid w:val="00C06ABA"/>
    <w:rsid w:val="00C11B24"/>
    <w:rsid w:val="00C1389C"/>
    <w:rsid w:val="00C146BF"/>
    <w:rsid w:val="00C147DD"/>
    <w:rsid w:val="00C15DA4"/>
    <w:rsid w:val="00C171A3"/>
    <w:rsid w:val="00C20646"/>
    <w:rsid w:val="00C23BD8"/>
    <w:rsid w:val="00C260F9"/>
    <w:rsid w:val="00C267FD"/>
    <w:rsid w:val="00C276F7"/>
    <w:rsid w:val="00C30306"/>
    <w:rsid w:val="00C31B6E"/>
    <w:rsid w:val="00C35F6A"/>
    <w:rsid w:val="00C4047F"/>
    <w:rsid w:val="00C41565"/>
    <w:rsid w:val="00C4162D"/>
    <w:rsid w:val="00C41C2F"/>
    <w:rsid w:val="00C421CA"/>
    <w:rsid w:val="00C43B37"/>
    <w:rsid w:val="00C458DC"/>
    <w:rsid w:val="00C45BF3"/>
    <w:rsid w:val="00C46227"/>
    <w:rsid w:val="00C4728F"/>
    <w:rsid w:val="00C4795F"/>
    <w:rsid w:val="00C50127"/>
    <w:rsid w:val="00C52AB3"/>
    <w:rsid w:val="00C57A90"/>
    <w:rsid w:val="00C61587"/>
    <w:rsid w:val="00C656E8"/>
    <w:rsid w:val="00C65DBA"/>
    <w:rsid w:val="00C669FB"/>
    <w:rsid w:val="00C70E32"/>
    <w:rsid w:val="00C728D6"/>
    <w:rsid w:val="00C74F73"/>
    <w:rsid w:val="00C7666E"/>
    <w:rsid w:val="00C81DA4"/>
    <w:rsid w:val="00C8243E"/>
    <w:rsid w:val="00C82C78"/>
    <w:rsid w:val="00C85C5B"/>
    <w:rsid w:val="00C87278"/>
    <w:rsid w:val="00C904EE"/>
    <w:rsid w:val="00C909CA"/>
    <w:rsid w:val="00C92F3C"/>
    <w:rsid w:val="00C96BA0"/>
    <w:rsid w:val="00CA0C83"/>
    <w:rsid w:val="00CA1CBF"/>
    <w:rsid w:val="00CA2FB6"/>
    <w:rsid w:val="00CA3E6A"/>
    <w:rsid w:val="00CA50ED"/>
    <w:rsid w:val="00CA59CF"/>
    <w:rsid w:val="00CA736E"/>
    <w:rsid w:val="00CB2117"/>
    <w:rsid w:val="00CC3B83"/>
    <w:rsid w:val="00CC489C"/>
    <w:rsid w:val="00CD04AA"/>
    <w:rsid w:val="00CD476F"/>
    <w:rsid w:val="00CD4DBA"/>
    <w:rsid w:val="00CD528A"/>
    <w:rsid w:val="00CD6F89"/>
    <w:rsid w:val="00CD7146"/>
    <w:rsid w:val="00CD7EA3"/>
    <w:rsid w:val="00CE07C6"/>
    <w:rsid w:val="00CE0927"/>
    <w:rsid w:val="00CE1C39"/>
    <w:rsid w:val="00CE3AEF"/>
    <w:rsid w:val="00CE4D5A"/>
    <w:rsid w:val="00CE53CB"/>
    <w:rsid w:val="00CF1522"/>
    <w:rsid w:val="00CF1F47"/>
    <w:rsid w:val="00CF27C0"/>
    <w:rsid w:val="00CF3FFF"/>
    <w:rsid w:val="00CF4140"/>
    <w:rsid w:val="00CF6275"/>
    <w:rsid w:val="00CF7582"/>
    <w:rsid w:val="00CF799C"/>
    <w:rsid w:val="00D00B9A"/>
    <w:rsid w:val="00D04E79"/>
    <w:rsid w:val="00D06B3B"/>
    <w:rsid w:val="00D1457B"/>
    <w:rsid w:val="00D15596"/>
    <w:rsid w:val="00D1767A"/>
    <w:rsid w:val="00D202E2"/>
    <w:rsid w:val="00D21034"/>
    <w:rsid w:val="00D233AA"/>
    <w:rsid w:val="00D324A8"/>
    <w:rsid w:val="00D32C8E"/>
    <w:rsid w:val="00D33E45"/>
    <w:rsid w:val="00D379E4"/>
    <w:rsid w:val="00D42BE3"/>
    <w:rsid w:val="00D45874"/>
    <w:rsid w:val="00D45877"/>
    <w:rsid w:val="00D52D5D"/>
    <w:rsid w:val="00D5304F"/>
    <w:rsid w:val="00D54E9F"/>
    <w:rsid w:val="00D5604D"/>
    <w:rsid w:val="00D5681E"/>
    <w:rsid w:val="00D600AF"/>
    <w:rsid w:val="00D61E86"/>
    <w:rsid w:val="00D61EF3"/>
    <w:rsid w:val="00D63549"/>
    <w:rsid w:val="00D66289"/>
    <w:rsid w:val="00D71797"/>
    <w:rsid w:val="00D740E6"/>
    <w:rsid w:val="00D75E14"/>
    <w:rsid w:val="00D76A16"/>
    <w:rsid w:val="00D76C00"/>
    <w:rsid w:val="00D80576"/>
    <w:rsid w:val="00D809A7"/>
    <w:rsid w:val="00D80B15"/>
    <w:rsid w:val="00D85226"/>
    <w:rsid w:val="00D91E46"/>
    <w:rsid w:val="00D92367"/>
    <w:rsid w:val="00D92DB8"/>
    <w:rsid w:val="00D94925"/>
    <w:rsid w:val="00D96374"/>
    <w:rsid w:val="00D97634"/>
    <w:rsid w:val="00DA0F5E"/>
    <w:rsid w:val="00DA1C5F"/>
    <w:rsid w:val="00DA3A21"/>
    <w:rsid w:val="00DA438F"/>
    <w:rsid w:val="00DA7DD8"/>
    <w:rsid w:val="00DB1F29"/>
    <w:rsid w:val="00DB5264"/>
    <w:rsid w:val="00DC0B3D"/>
    <w:rsid w:val="00DC2CFB"/>
    <w:rsid w:val="00DC432E"/>
    <w:rsid w:val="00DD343C"/>
    <w:rsid w:val="00DD36DD"/>
    <w:rsid w:val="00DD3F90"/>
    <w:rsid w:val="00DD41D2"/>
    <w:rsid w:val="00DD6910"/>
    <w:rsid w:val="00DD6D2D"/>
    <w:rsid w:val="00DD7817"/>
    <w:rsid w:val="00DDC5B5"/>
    <w:rsid w:val="00DE1E2F"/>
    <w:rsid w:val="00DE2C51"/>
    <w:rsid w:val="00DE6596"/>
    <w:rsid w:val="00DE787F"/>
    <w:rsid w:val="00DF28B7"/>
    <w:rsid w:val="00DF576F"/>
    <w:rsid w:val="00E01E1C"/>
    <w:rsid w:val="00E10A35"/>
    <w:rsid w:val="00E14CC4"/>
    <w:rsid w:val="00E14F46"/>
    <w:rsid w:val="00E14FD4"/>
    <w:rsid w:val="00E20DDD"/>
    <w:rsid w:val="00E216C0"/>
    <w:rsid w:val="00E230B7"/>
    <w:rsid w:val="00E234F4"/>
    <w:rsid w:val="00E3165B"/>
    <w:rsid w:val="00E319B6"/>
    <w:rsid w:val="00E323CE"/>
    <w:rsid w:val="00E35FBA"/>
    <w:rsid w:val="00E417F3"/>
    <w:rsid w:val="00E42681"/>
    <w:rsid w:val="00E45D12"/>
    <w:rsid w:val="00E463A2"/>
    <w:rsid w:val="00E47828"/>
    <w:rsid w:val="00E50813"/>
    <w:rsid w:val="00E51C36"/>
    <w:rsid w:val="00E5233F"/>
    <w:rsid w:val="00E573E0"/>
    <w:rsid w:val="00E6012F"/>
    <w:rsid w:val="00E626C4"/>
    <w:rsid w:val="00E64829"/>
    <w:rsid w:val="00E64E6A"/>
    <w:rsid w:val="00E64FF3"/>
    <w:rsid w:val="00E6723B"/>
    <w:rsid w:val="00E7002B"/>
    <w:rsid w:val="00E70AA9"/>
    <w:rsid w:val="00E70E71"/>
    <w:rsid w:val="00E75834"/>
    <w:rsid w:val="00E777BF"/>
    <w:rsid w:val="00E77BB4"/>
    <w:rsid w:val="00E77D2D"/>
    <w:rsid w:val="00E804E6"/>
    <w:rsid w:val="00E852B5"/>
    <w:rsid w:val="00E8646B"/>
    <w:rsid w:val="00E86540"/>
    <w:rsid w:val="00E86F8A"/>
    <w:rsid w:val="00E877A9"/>
    <w:rsid w:val="00E877C8"/>
    <w:rsid w:val="00E9003B"/>
    <w:rsid w:val="00E90942"/>
    <w:rsid w:val="00E91F66"/>
    <w:rsid w:val="00E92F30"/>
    <w:rsid w:val="00E93461"/>
    <w:rsid w:val="00E93762"/>
    <w:rsid w:val="00E961D0"/>
    <w:rsid w:val="00E97767"/>
    <w:rsid w:val="00E979CD"/>
    <w:rsid w:val="00EA098F"/>
    <w:rsid w:val="00EA2E7E"/>
    <w:rsid w:val="00EA2F66"/>
    <w:rsid w:val="00EA2F82"/>
    <w:rsid w:val="00EA33D3"/>
    <w:rsid w:val="00EA491F"/>
    <w:rsid w:val="00EA72AD"/>
    <w:rsid w:val="00EB080C"/>
    <w:rsid w:val="00EB18ED"/>
    <w:rsid w:val="00EB2619"/>
    <w:rsid w:val="00EB348A"/>
    <w:rsid w:val="00EB54BB"/>
    <w:rsid w:val="00EB76E4"/>
    <w:rsid w:val="00EC15B0"/>
    <w:rsid w:val="00EC23AA"/>
    <w:rsid w:val="00EC2D32"/>
    <w:rsid w:val="00EC3EE6"/>
    <w:rsid w:val="00EC468D"/>
    <w:rsid w:val="00EC73B2"/>
    <w:rsid w:val="00ED1BDA"/>
    <w:rsid w:val="00ED25DF"/>
    <w:rsid w:val="00ED2ED7"/>
    <w:rsid w:val="00ED3045"/>
    <w:rsid w:val="00ED339D"/>
    <w:rsid w:val="00ED3943"/>
    <w:rsid w:val="00ED3B29"/>
    <w:rsid w:val="00ED5CD6"/>
    <w:rsid w:val="00EE09CC"/>
    <w:rsid w:val="00EE232E"/>
    <w:rsid w:val="00EE2447"/>
    <w:rsid w:val="00EE6E30"/>
    <w:rsid w:val="00EF4128"/>
    <w:rsid w:val="00EF56B8"/>
    <w:rsid w:val="00EF6A09"/>
    <w:rsid w:val="00EF7AF6"/>
    <w:rsid w:val="00F008EB"/>
    <w:rsid w:val="00F00A8F"/>
    <w:rsid w:val="00F00F0D"/>
    <w:rsid w:val="00F04EA8"/>
    <w:rsid w:val="00F053BB"/>
    <w:rsid w:val="00F065B7"/>
    <w:rsid w:val="00F07603"/>
    <w:rsid w:val="00F10689"/>
    <w:rsid w:val="00F17B13"/>
    <w:rsid w:val="00F20E6F"/>
    <w:rsid w:val="00F21A79"/>
    <w:rsid w:val="00F23DCA"/>
    <w:rsid w:val="00F26180"/>
    <w:rsid w:val="00F32530"/>
    <w:rsid w:val="00F32995"/>
    <w:rsid w:val="00F35EE6"/>
    <w:rsid w:val="00F36A68"/>
    <w:rsid w:val="00F44284"/>
    <w:rsid w:val="00F442D3"/>
    <w:rsid w:val="00F4503E"/>
    <w:rsid w:val="00F451A8"/>
    <w:rsid w:val="00F46366"/>
    <w:rsid w:val="00F47416"/>
    <w:rsid w:val="00F4790A"/>
    <w:rsid w:val="00F51A36"/>
    <w:rsid w:val="00F51D2F"/>
    <w:rsid w:val="00F524B3"/>
    <w:rsid w:val="00F52A43"/>
    <w:rsid w:val="00F57226"/>
    <w:rsid w:val="00F57652"/>
    <w:rsid w:val="00F60292"/>
    <w:rsid w:val="00F64066"/>
    <w:rsid w:val="00F669FC"/>
    <w:rsid w:val="00F6739B"/>
    <w:rsid w:val="00F71363"/>
    <w:rsid w:val="00F72779"/>
    <w:rsid w:val="00F73630"/>
    <w:rsid w:val="00F73B93"/>
    <w:rsid w:val="00F74B95"/>
    <w:rsid w:val="00F75AC8"/>
    <w:rsid w:val="00F76290"/>
    <w:rsid w:val="00F76E80"/>
    <w:rsid w:val="00F7729D"/>
    <w:rsid w:val="00F8135D"/>
    <w:rsid w:val="00F81F32"/>
    <w:rsid w:val="00F83B35"/>
    <w:rsid w:val="00F85704"/>
    <w:rsid w:val="00F861D6"/>
    <w:rsid w:val="00F86D02"/>
    <w:rsid w:val="00F87756"/>
    <w:rsid w:val="00F93781"/>
    <w:rsid w:val="00F95A20"/>
    <w:rsid w:val="00F97361"/>
    <w:rsid w:val="00FA3448"/>
    <w:rsid w:val="00FA3AC6"/>
    <w:rsid w:val="00FA455E"/>
    <w:rsid w:val="00FA66FA"/>
    <w:rsid w:val="00FA6AB2"/>
    <w:rsid w:val="00FB1213"/>
    <w:rsid w:val="00FB31B9"/>
    <w:rsid w:val="00FB42E1"/>
    <w:rsid w:val="00FB4733"/>
    <w:rsid w:val="00FB6321"/>
    <w:rsid w:val="00FB6451"/>
    <w:rsid w:val="00FC291A"/>
    <w:rsid w:val="00FC32C9"/>
    <w:rsid w:val="00FC3E1C"/>
    <w:rsid w:val="00FC40A6"/>
    <w:rsid w:val="00FC768F"/>
    <w:rsid w:val="00FC7779"/>
    <w:rsid w:val="00FC7BED"/>
    <w:rsid w:val="00FD09FD"/>
    <w:rsid w:val="00FD1002"/>
    <w:rsid w:val="00FD1758"/>
    <w:rsid w:val="00FD4CE7"/>
    <w:rsid w:val="00FD50C4"/>
    <w:rsid w:val="00FD56BF"/>
    <w:rsid w:val="00FD64E2"/>
    <w:rsid w:val="00FD67A5"/>
    <w:rsid w:val="00FD6C74"/>
    <w:rsid w:val="00FE0546"/>
    <w:rsid w:val="00FE1E18"/>
    <w:rsid w:val="00FE2203"/>
    <w:rsid w:val="00FE2978"/>
    <w:rsid w:val="00FE6181"/>
    <w:rsid w:val="00FE7EE4"/>
    <w:rsid w:val="00FF0673"/>
    <w:rsid w:val="00FF2567"/>
    <w:rsid w:val="00FF3555"/>
    <w:rsid w:val="00FF72EC"/>
    <w:rsid w:val="00FF73FD"/>
    <w:rsid w:val="00FF75A6"/>
    <w:rsid w:val="00FF7FAC"/>
    <w:rsid w:val="02429271"/>
    <w:rsid w:val="202FAF21"/>
    <w:rsid w:val="2A868C5B"/>
    <w:rsid w:val="2DBE2D1D"/>
    <w:rsid w:val="36BD01F5"/>
    <w:rsid w:val="37CAABA1"/>
    <w:rsid w:val="3847AD65"/>
    <w:rsid w:val="54DF4DF5"/>
    <w:rsid w:val="643D018C"/>
    <w:rsid w:val="682CD7BE"/>
    <w:rsid w:val="77C5C87F"/>
    <w:rsid w:val="7925C6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67A890"/>
  <w15:chartTrackingRefBased/>
  <w15:docId w15:val="{7F0E116B-B3BF-42A7-9619-CFAAD66CE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lsdException w:name="heading 2" w:locked="0" w:semiHidden="1" w:uiPriority="9" w:unhideWhenUsed="1"/>
    <w:lsdException w:name="heading 3" w:locked="0" w:semiHidden="1" w:uiPriority="9" w:unhideWhenUsed="1" w:qFormat="1"/>
    <w:lsdException w:name="heading 4" w:locked="0" w:semiHidden="1" w:uiPriority="9" w:unhideWhenUsed="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locked="0"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27557F"/>
    <w:rPr>
      <w:rFonts w:ascii="Arial" w:hAnsi="Arial"/>
      <w:sz w:val="24"/>
    </w:rPr>
  </w:style>
  <w:style w:type="paragraph" w:styleId="Heading1">
    <w:name w:val="heading 1"/>
    <w:basedOn w:val="Normal"/>
    <w:next w:val="Normal"/>
    <w:link w:val="Heading1Char"/>
    <w:uiPriority w:val="9"/>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DA3A21"/>
    <w:pPr>
      <w:spacing w:before="120" w:line="312" w:lineRule="auto"/>
    </w:pPr>
    <w:rPr>
      <w:b/>
      <w:color w:val="43358B"/>
      <w:spacing w:val="-20"/>
      <w:sz w:val="56"/>
    </w:rPr>
  </w:style>
  <w:style w:type="paragraph" w:customStyle="1" w:styleId="Publicationsubtitle">
    <w:name w:val="Publication subtitle"/>
    <w:basedOn w:val="PublicationTitle"/>
    <w:autoRedefine/>
    <w:qFormat/>
    <w:rsid w:val="00DD6910"/>
    <w:rPr>
      <w:spacing w:val="0"/>
      <w:sz w:val="36"/>
    </w:rPr>
  </w:style>
  <w:style w:type="paragraph" w:customStyle="1" w:styleId="Publicationdate">
    <w:name w:val="Publication date"/>
    <w:basedOn w:val="PublicationTitle"/>
    <w:autoRedefine/>
    <w:qFormat/>
    <w:rsid w:val="007B4E57"/>
    <w:pPr>
      <w:spacing w:line="360" w:lineRule="exact"/>
    </w:pPr>
    <w:rPr>
      <w:b w:val="0"/>
      <w:bCs/>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E234F4"/>
    <w:pPr>
      <w:tabs>
        <w:tab w:val="right" w:pos="9752"/>
      </w:tabs>
      <w:spacing w:after="0"/>
    </w:pPr>
  </w:style>
  <w:style w:type="character" w:customStyle="1" w:styleId="HeaderChar">
    <w:name w:val="Header Char"/>
    <w:basedOn w:val="DefaultParagraphFont"/>
    <w:link w:val="Header"/>
    <w:uiPriority w:val="99"/>
    <w:rsid w:val="00E234F4"/>
    <w:rPr>
      <w:rFonts w:ascii="Arial" w:hAnsi="Arial"/>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semiHidden/>
    <w:qFormat/>
    <w:locked/>
    <w:rsid w:val="00B1110B"/>
    <w:pPr>
      <w:ind w:left="720"/>
      <w:contextualSpacing/>
    </w:pPr>
  </w:style>
  <w:style w:type="paragraph" w:customStyle="1" w:styleId="Bullet1">
    <w:name w:val="Bullet 1"/>
    <w:basedOn w:val="ListParagraph"/>
    <w:qFormat/>
    <w:rsid w:val="002961B4"/>
    <w:pPr>
      <w:numPr>
        <w:numId w:val="3"/>
      </w:numPr>
      <w:ind w:left="680" w:hanging="340"/>
      <w:contextualSpacing w:val="0"/>
    </w:pPr>
  </w:style>
  <w:style w:type="paragraph" w:customStyle="1" w:styleId="Bullet2">
    <w:name w:val="Bullet 2"/>
    <w:basedOn w:val="Bullet1"/>
    <w:qFormat/>
    <w:rsid w:val="003504BB"/>
    <w:pPr>
      <w:numPr>
        <w:numId w:val="4"/>
      </w:numPr>
      <w:ind w:left="1247" w:hanging="340"/>
    </w:pPr>
  </w:style>
  <w:style w:type="character" w:customStyle="1" w:styleId="Tablebodyde-emphasis">
    <w:name w:val="Table body de-emphasis"/>
    <w:basedOn w:val="DefaultParagraphFont"/>
    <w:uiPriority w:val="1"/>
    <w:semiHidden/>
    <w:qFormat/>
    <w:rsid w:val="00EB348A"/>
    <w:rPr>
      <w:color w:val="595959"/>
    </w:r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qFormat/>
    <w:rsid w:val="004C6DF6"/>
    <w:pPr>
      <w:spacing w:after="0"/>
    </w:pPr>
    <w:rPr>
      <w:rFonts w:cs="Arial"/>
      <w:bCs/>
    </w:rPr>
  </w:style>
  <w:style w:type="paragraph" w:styleId="TOCHeading">
    <w:name w:val="TOC Heading"/>
    <w:basedOn w:val="Heading1"/>
    <w:next w:val="Normal"/>
    <w:uiPriority w:val="39"/>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rsid w:val="007B4E57"/>
    <w:pPr>
      <w:tabs>
        <w:tab w:val="right" w:pos="8902"/>
      </w:tabs>
      <w:spacing w:after="160" w:line="288" w:lineRule="auto"/>
      <w:ind w:right="1134"/>
    </w:pPr>
    <w:rPr>
      <w:noProof/>
    </w:rPr>
  </w:style>
  <w:style w:type="paragraph" w:styleId="TOC2">
    <w:name w:val="toc 2"/>
    <w:basedOn w:val="TOC1"/>
    <w:next w:val="TOC3"/>
    <w:autoRedefine/>
    <w:uiPriority w:val="39"/>
    <w:rsid w:val="00D97634"/>
    <w:pPr>
      <w:ind w:left="240"/>
    </w:pPr>
  </w:style>
  <w:style w:type="paragraph" w:styleId="TOC3">
    <w:name w:val="toc 3"/>
    <w:basedOn w:val="TOC2"/>
    <w:next w:val="TOC4"/>
    <w:autoRedefine/>
    <w:uiPriority w:val="39"/>
    <w:rsid w:val="000D322E"/>
    <w:pPr>
      <w:ind w:left="480"/>
    </w:pPr>
  </w:style>
  <w:style w:type="paragraph" w:styleId="TOC4">
    <w:name w:val="toc 4"/>
    <w:basedOn w:val="TOC3"/>
    <w:autoRedefine/>
    <w:uiPriority w:val="39"/>
    <w:rsid w:val="000D322E"/>
    <w:pPr>
      <w:ind w:left="720"/>
    </w:pPr>
  </w:style>
  <w:style w:type="paragraph" w:customStyle="1" w:styleId="Heading1numbered">
    <w:name w:val="Heading 1 numbered"/>
    <w:basedOn w:val="Heading1"/>
    <w:next w:val="Normal"/>
    <w:link w:val="Heading1numberedChar"/>
    <w:rsid w:val="008E5F4B"/>
    <w:pPr>
      <w:numPr>
        <w:numId w:val="8"/>
      </w:numPr>
    </w:pPr>
  </w:style>
  <w:style w:type="paragraph" w:customStyle="1" w:styleId="Heading2numbered">
    <w:name w:val="Heading 2 numbered"/>
    <w:basedOn w:val="Heading2"/>
    <w:next w:val="Normal"/>
    <w:link w:val="Heading2numberedChar"/>
    <w:rsid w:val="00817C6A"/>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rsid w:val="008E5F4B"/>
    <w:pPr>
      <w:numPr>
        <w:ilvl w:val="2"/>
        <w:numId w:val="8"/>
      </w:numPr>
    </w:pPr>
  </w:style>
  <w:style w:type="paragraph" w:customStyle="1" w:styleId="Heading4numbered">
    <w:name w:val="Heading 4 numbered"/>
    <w:basedOn w:val="Heading4"/>
    <w:next w:val="Normal"/>
    <w:link w:val="Heading4numberedChar"/>
    <w:rsid w:val="008E5F4B"/>
    <w:pPr>
      <w:numPr>
        <w:ilvl w:val="3"/>
        <w:numId w:val="8"/>
      </w:numPr>
    </w:pPr>
    <w:rPr>
      <w:bCs w:val="0"/>
    </w:rPr>
  </w:style>
  <w:style w:type="paragraph" w:styleId="FootnoteText">
    <w:name w:val="footnote text"/>
    <w:basedOn w:val="Normal"/>
    <w:link w:val="FootnoteTextChar"/>
    <w:uiPriority w:val="99"/>
    <w:rsid w:val="00F85704"/>
    <w:pPr>
      <w:tabs>
        <w:tab w:val="left" w:pos="284"/>
      </w:tabs>
      <w:spacing w:after="120"/>
      <w:ind w:left="340" w:hanging="340"/>
    </w:pPr>
    <w:rPr>
      <w:szCs w:val="24"/>
    </w:rPr>
  </w:style>
  <w:style w:type="character" w:customStyle="1" w:styleId="FootnoteTextChar">
    <w:name w:val="Footnote Text Char"/>
    <w:basedOn w:val="DefaultParagraphFont"/>
    <w:link w:val="FootnoteText"/>
    <w:uiPriority w:val="99"/>
    <w:rsid w:val="00F85704"/>
    <w:rPr>
      <w:rFonts w:ascii="Arial" w:hAnsi="Arial"/>
      <w:sz w:val="24"/>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5"/>
      </w:numPr>
      <w:ind w:left="1814" w:hanging="340"/>
    </w:pPr>
  </w:style>
  <w:style w:type="paragraph" w:customStyle="1" w:styleId="Bulletnumbered1123">
    <w:name w:val="Bullet numbered 1 (123)"/>
    <w:basedOn w:val="Normal"/>
    <w:qFormat/>
    <w:rsid w:val="008E5F4B"/>
    <w:pPr>
      <w:numPr>
        <w:numId w:val="7"/>
      </w:numPr>
    </w:pPr>
  </w:style>
  <w:style w:type="paragraph" w:customStyle="1" w:styleId="Bulletnumbered2abc">
    <w:name w:val="Bullet numbered 2 (abc)"/>
    <w:basedOn w:val="Bulletnumbered1123"/>
    <w:qFormat/>
    <w:rsid w:val="008E5F4B"/>
    <w:pPr>
      <w:numPr>
        <w:ilvl w:val="1"/>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8E5F4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817C6A"/>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8E5F4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8E5F4B"/>
    <w:rPr>
      <w:rFonts w:ascii="Arial" w:eastAsiaTheme="majorEastAsia" w:hAnsi="Arial" w:cs="Arial"/>
      <w:b/>
      <w:bCs w:val="0"/>
      <w:color w:val="000000" w:themeColor="text1"/>
      <w:sz w:val="24"/>
      <w:szCs w:val="24"/>
    </w:rPr>
  </w:style>
  <w:style w:type="paragraph" w:customStyle="1" w:styleId="Tablebullet1">
    <w:name w:val="Table bullet 1"/>
    <w:basedOn w:val="TableBody"/>
    <w:qFormat/>
    <w:rsid w:val="00B1110B"/>
    <w:pPr>
      <w:numPr>
        <w:numId w:val="6"/>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D1457B"/>
    <w:pPr>
      <w:pBdr>
        <w:top w:val="single" w:sz="6" w:space="3" w:color="3F3685" w:themeColor="text2"/>
      </w:pBdr>
      <w:jc w:val="right"/>
    </w:pPr>
    <w:rPr>
      <w:noProof/>
    </w:rPr>
  </w:style>
  <w:style w:type="paragraph" w:customStyle="1" w:styleId="Coverfooter">
    <w:name w:val="Cover footer"/>
    <w:basedOn w:val="Normal"/>
    <w:qFormat/>
    <w:rsid w:val="001A7DA0"/>
    <w:pPr>
      <w:tabs>
        <w:tab w:val="right" w:pos="8959"/>
      </w:tabs>
      <w:spacing w:before="120" w:after="0" w:line="312" w:lineRule="auto"/>
      <w:ind w:right="964"/>
    </w:pPr>
    <w:rPr>
      <w:rFonts w:cs="Arial"/>
      <w:b/>
      <w:color w:val="3F3685" w:themeColor="text2"/>
      <w:position w:val="-28"/>
      <w:sz w:val="28"/>
    </w:rPr>
  </w:style>
  <w:style w:type="character" w:customStyle="1" w:styleId="Italicspeciesnamesonly">
    <w:name w:val="*Italic (species names only)"/>
    <w:basedOn w:val="DefaultParagraphFont"/>
    <w:uiPriority w:val="1"/>
    <w:qFormat/>
    <w:rsid w:val="00B1110B"/>
    <w:rPr>
      <w:i/>
    </w:rPr>
  </w:style>
  <w:style w:type="character" w:customStyle="1" w:styleId="Bolditalicspeciesnamesonly">
    <w:name w:val="*Bold italic (species names only)"/>
    <w:basedOn w:val="Italicspeciesnamesonly"/>
    <w:uiPriority w:val="1"/>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rsid w:val="00B1110B"/>
    <w:pPr>
      <w:spacing w:before="0" w:after="120"/>
    </w:pPr>
    <w:rPr>
      <w:sz w:val="32"/>
    </w:rPr>
  </w:style>
  <w:style w:type="paragraph" w:styleId="Quote">
    <w:name w:val="Quote"/>
    <w:basedOn w:val="Normal"/>
    <w:next w:val="Normal"/>
    <w:link w:val="QuoteChar"/>
    <w:uiPriority w:val="29"/>
    <w:qFormat/>
    <w:rsid w:val="00B50803"/>
    <w:pPr>
      <w:pBdr>
        <w:top w:val="single" w:sz="8" w:space="10" w:color="3F3685" w:themeColor="text2"/>
        <w:bottom w:val="single" w:sz="8" w:space="6" w:color="3F3685" w:themeColor="text2"/>
      </w:pBdr>
      <w:spacing w:before="240" w:after="300"/>
      <w:ind w:left="567" w:right="567"/>
    </w:pPr>
    <w:rPr>
      <w:iCs/>
      <w:color w:val="000000" w:themeColor="text1"/>
    </w:rPr>
  </w:style>
  <w:style w:type="character" w:customStyle="1" w:styleId="QuoteChar">
    <w:name w:val="Quote Char"/>
    <w:basedOn w:val="DefaultParagraphFont"/>
    <w:link w:val="Quote"/>
    <w:uiPriority w:val="29"/>
    <w:rsid w:val="00B50803"/>
    <w:rPr>
      <w:rFonts w:ascii="Arial" w:hAnsi="Arial"/>
      <w:iCs/>
      <w:color w:val="000000" w:themeColor="text1"/>
      <w:sz w:val="24"/>
    </w:rPr>
  </w:style>
  <w:style w:type="character" w:customStyle="1" w:styleId="yellowhighlight">
    <w:name w:val="*yellow highlight"/>
    <w:basedOn w:val="DefaultParagraphFont"/>
    <w:uiPriority w:val="1"/>
    <w:semiHidden/>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semiHidden/>
    <w:qFormat/>
    <w:rsid w:val="00B1110B"/>
    <w:rPr>
      <w:b/>
      <w:bdr w:val="none" w:sz="0" w:space="0" w:color="auto"/>
      <w:shd w:val="clear" w:color="auto" w:fill="FFFF00"/>
    </w:rPr>
  </w:style>
  <w:style w:type="character" w:customStyle="1" w:styleId="yellowhyperlink">
    <w:name w:val="*yellow hyperlink"/>
    <w:basedOn w:val="DefaultParagraphFont"/>
    <w:uiPriority w:val="1"/>
    <w:semiHidden/>
    <w:qFormat/>
    <w:rsid w:val="00672595"/>
    <w:rPr>
      <w:b/>
      <w:color w:val="3F3685" w:themeColor="text2"/>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672595"/>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8E5F4B"/>
    <w:pPr>
      <w:numPr>
        <w:numId w:val="9"/>
      </w:numPr>
      <w:tabs>
        <w:tab w:val="left" w:pos="720"/>
      </w:tabs>
    </w:pPr>
  </w:style>
  <w:style w:type="paragraph" w:customStyle="1" w:styleId="Tablebulletnumbered2abc">
    <w:name w:val="Table bullet numbered 2 (abc)"/>
    <w:basedOn w:val="Tablebulletnumbered1123"/>
    <w:qFormat/>
    <w:rsid w:val="008E5F4B"/>
    <w:pPr>
      <w:numPr>
        <w:ilvl w:val="1"/>
      </w:numPr>
      <w:tabs>
        <w:tab w:val="left" w:pos="1134"/>
      </w:tabs>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8E5F4B"/>
    <w:pPr>
      <w:numPr>
        <w:ilvl w:val="2"/>
      </w:numPr>
    </w:pPr>
  </w:style>
  <w:style w:type="paragraph" w:styleId="EndnoteText">
    <w:name w:val="endnote text"/>
    <w:basedOn w:val="Normal"/>
    <w:link w:val="EndnoteTextChar"/>
    <w:uiPriority w:val="99"/>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rsid w:val="00483CAD"/>
    <w:rPr>
      <w:rFonts w:ascii="Arial" w:hAnsi="Arial"/>
      <w:sz w:val="24"/>
      <w:szCs w:val="24"/>
    </w:rPr>
  </w:style>
  <w:style w:type="character" w:styleId="EndnoteReference">
    <w:name w:val="endnote reference"/>
    <w:basedOn w:val="DefaultParagraphFont"/>
    <w:uiPriority w:val="99"/>
    <w:rsid w:val="007C6BAA"/>
    <w:rPr>
      <w:vertAlign w:val="superscript"/>
    </w:rPr>
  </w:style>
  <w:style w:type="character" w:customStyle="1" w:styleId="Crossreference">
    <w:name w:val="Cross reference"/>
    <w:basedOn w:val="Hyperlink"/>
    <w:uiPriority w:val="1"/>
    <w:qFormat/>
    <w:rsid w:val="007C48DB"/>
    <w:rPr>
      <w:b/>
      <w:bCs/>
      <w:color w:val="43358B"/>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customStyle="1" w:styleId="UnresolvedMention3">
    <w:name w:val="Unresolved Mention3"/>
    <w:basedOn w:val="DefaultParagraphFont"/>
    <w:uiPriority w:val="99"/>
    <w:semiHidden/>
    <w:locked/>
    <w:rsid w:val="009C69C3"/>
    <w:rPr>
      <w:color w:val="605E5C"/>
      <w:shd w:val="clear" w:color="auto" w:fill="E1DFDD"/>
    </w:rPr>
  </w:style>
  <w:style w:type="table" w:styleId="PlainTable5">
    <w:name w:val="Plain Table 5"/>
    <w:basedOn w:val="TableNormal"/>
    <w:uiPriority w:val="45"/>
    <w:locked/>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CF4140"/>
    <w:pPr>
      <w:spacing w:after="360"/>
      <w:jc w:val="center"/>
    </w:pPr>
    <w:rPr>
      <w:noProof/>
      <w:lang w:eastAsia="en-GB"/>
    </w:rPr>
  </w:style>
  <w:style w:type="paragraph" w:customStyle="1" w:styleId="Textboxnormalleftaligned">
    <w:name w:val="Textbox normal (left aligned)"/>
    <w:basedOn w:val="Normal"/>
    <w:qFormat/>
    <w:rsid w:val="00CF1522"/>
    <w:pPr>
      <w:spacing w:after="120"/>
    </w:pPr>
  </w:style>
  <w:style w:type="paragraph" w:customStyle="1" w:styleId="Texboxnormalcentrealigned">
    <w:name w:val="Texbox normal (centre aligned)"/>
    <w:basedOn w:val="Textboxnormalleftaligned"/>
    <w:semiHidden/>
    <w:qFormat/>
    <w:rsid w:val="00A76AB4"/>
    <w:pPr>
      <w:jc w:val="center"/>
    </w:pPr>
  </w:style>
  <w:style w:type="character" w:customStyle="1" w:styleId="hidePElogoEditoraluseonly">
    <w:name w:val="*hide PE logo (Editoral use only)"/>
    <w:basedOn w:val="DefaultParagraphFont"/>
    <w:uiPriority w:val="1"/>
    <w:qFormat/>
    <w:rsid w:val="00763FCD"/>
    <w:rPr>
      <w:vanish/>
    </w:rPr>
  </w:style>
  <w:style w:type="paragraph" w:customStyle="1" w:styleId="GlossaryItemDescription">
    <w:name w:val="Glossary Item Description"/>
    <w:basedOn w:val="Normal"/>
    <w:link w:val="GlossaryItemDescriptionChar"/>
    <w:semiHidden/>
    <w:qFormat/>
    <w:rsid w:val="00C50127"/>
    <w:rPr>
      <w:rFonts w:eastAsia="Calibri" w:cs="Times New Roman"/>
      <w:szCs w:val="24"/>
      <w:lang w:eastAsia="en-GB"/>
    </w:rPr>
  </w:style>
  <w:style w:type="character" w:customStyle="1" w:styleId="GlossaryItemDescriptionChar">
    <w:name w:val="Glossary Item Description Char"/>
    <w:basedOn w:val="DefaultParagraphFont"/>
    <w:link w:val="GlossaryItemDescription"/>
    <w:semiHidden/>
    <w:rsid w:val="00C50127"/>
    <w:rPr>
      <w:rFonts w:ascii="Arial" w:eastAsia="Calibri" w:hAnsi="Arial" w:cs="Times New Roman"/>
      <w:sz w:val="24"/>
      <w:szCs w:val="24"/>
      <w:lang w:eastAsia="en-GB"/>
    </w:rPr>
  </w:style>
  <w:style w:type="paragraph" w:customStyle="1" w:styleId="GlossaryItemName">
    <w:name w:val="Glossary Item Name"/>
    <w:basedOn w:val="Normal"/>
    <w:link w:val="GlossaryItemNameChar"/>
    <w:semiHidden/>
    <w:qFormat/>
    <w:rsid w:val="00A01380"/>
    <w:pPr>
      <w:spacing w:before="120" w:after="60"/>
    </w:pPr>
    <w:rPr>
      <w:rFonts w:eastAsia="Calibri" w:cs="Times New Roman"/>
      <w:b/>
      <w:bCs/>
      <w:szCs w:val="24"/>
      <w:lang w:eastAsia="en-GB"/>
    </w:rPr>
  </w:style>
  <w:style w:type="character" w:customStyle="1" w:styleId="GlossaryItemNameChar">
    <w:name w:val="Glossary Item Name Char"/>
    <w:basedOn w:val="DefaultParagraphFont"/>
    <w:link w:val="GlossaryItemName"/>
    <w:semiHidden/>
    <w:rsid w:val="00A01380"/>
    <w:rPr>
      <w:rFonts w:ascii="Arial" w:eastAsia="Calibri" w:hAnsi="Arial" w:cs="Times New Roman"/>
      <w:b/>
      <w:bCs/>
      <w:sz w:val="24"/>
      <w:szCs w:val="24"/>
      <w:lang w:eastAsia="en-GB"/>
    </w:rPr>
  </w:style>
  <w:style w:type="paragraph" w:customStyle="1" w:styleId="Metadata-ItemDescription">
    <w:name w:val="Metadata - Item Description"/>
    <w:basedOn w:val="Normal"/>
    <w:link w:val="Metadata-ItemDescriptionChar"/>
    <w:semiHidden/>
    <w:qFormat/>
    <w:rsid w:val="00C50127"/>
    <w:rPr>
      <w:rFonts w:eastAsia="Calibri" w:cs="Times New Roman"/>
      <w:szCs w:val="24"/>
      <w:lang w:eastAsia="en-GB"/>
    </w:rPr>
  </w:style>
  <w:style w:type="character" w:customStyle="1" w:styleId="Metadata-ItemDescriptionChar">
    <w:name w:val="Metadata - Item Description Char"/>
    <w:basedOn w:val="DefaultParagraphFont"/>
    <w:link w:val="Metadata-ItemDescription"/>
    <w:semiHidden/>
    <w:rsid w:val="00C50127"/>
    <w:rPr>
      <w:rFonts w:ascii="Arial" w:eastAsia="Calibri" w:hAnsi="Arial" w:cs="Times New Roman"/>
      <w:sz w:val="24"/>
      <w:szCs w:val="24"/>
      <w:lang w:eastAsia="en-GB"/>
    </w:rPr>
  </w:style>
  <w:style w:type="paragraph" w:customStyle="1" w:styleId="Metadata-ItemTitle">
    <w:name w:val="Metadata - Item Title"/>
    <w:basedOn w:val="Normal"/>
    <w:link w:val="Metadata-ItemTitleChar"/>
    <w:semiHidden/>
    <w:qFormat/>
    <w:rsid w:val="00C50127"/>
    <w:pPr>
      <w:spacing w:before="120" w:after="120"/>
    </w:pPr>
    <w:rPr>
      <w:rFonts w:eastAsia="Calibri" w:cs="Times New Roman"/>
      <w:b/>
      <w:bCs/>
      <w:szCs w:val="24"/>
      <w:lang w:eastAsia="en-GB"/>
    </w:rPr>
  </w:style>
  <w:style w:type="character" w:customStyle="1" w:styleId="Metadata-ItemTitleChar">
    <w:name w:val="Metadata - Item Title Char"/>
    <w:basedOn w:val="DefaultParagraphFont"/>
    <w:link w:val="Metadata-ItemTitle"/>
    <w:semiHidden/>
    <w:rsid w:val="00C50127"/>
    <w:rPr>
      <w:rFonts w:ascii="Arial" w:eastAsia="Calibri" w:hAnsi="Arial" w:cs="Times New Roman"/>
      <w:b/>
      <w:bCs/>
      <w:sz w:val="24"/>
      <w:szCs w:val="24"/>
      <w:lang w:eastAsia="en-GB"/>
    </w:rPr>
  </w:style>
  <w:style w:type="paragraph" w:customStyle="1" w:styleId="StatsDesignationEditoraluseonly">
    <w:name w:val="Stats Designation (Editoral use only)"/>
    <w:basedOn w:val="Normal"/>
    <w:link w:val="StatsDesignationEditoraluseonlyChar"/>
    <w:semiHidden/>
    <w:qFormat/>
    <w:rsid w:val="00C50127"/>
    <w:rPr>
      <w:color w:val="FFFFFF" w:themeColor="background1"/>
      <w:sz w:val="28"/>
    </w:rPr>
  </w:style>
  <w:style w:type="character" w:customStyle="1" w:styleId="StatsDesignationEditoraluseonlyChar">
    <w:name w:val="Stats Designation (Editoral use only) Char"/>
    <w:basedOn w:val="DefaultParagraphFont"/>
    <w:link w:val="StatsDesignationEditoraluseonly"/>
    <w:semiHidden/>
    <w:rsid w:val="003371A0"/>
    <w:rPr>
      <w:rFonts w:ascii="Arial" w:hAnsi="Arial"/>
      <w:color w:val="FFFFFF" w:themeColor="background1"/>
      <w:sz w:val="28"/>
    </w:rPr>
  </w:style>
  <w:style w:type="paragraph" w:customStyle="1" w:styleId="ImprintpagetextEditorialuseonly">
    <w:name w:val="*Imprint page text (Editorial use only)"/>
    <w:basedOn w:val="Normal"/>
    <w:qFormat/>
    <w:rsid w:val="00292910"/>
    <w:pPr>
      <w:tabs>
        <w:tab w:val="right" w:pos="8959"/>
      </w:tabs>
      <w:spacing w:line="312" w:lineRule="auto"/>
    </w:pPr>
  </w:style>
  <w:style w:type="character" w:customStyle="1" w:styleId="ImprintpageiconsEditorialuseonly">
    <w:name w:val="*Imprint page icons (Editorial use only)"/>
    <w:basedOn w:val="DefaultParagraphFont"/>
    <w:uiPriority w:val="1"/>
    <w:qFormat/>
    <w:rsid w:val="00292910"/>
    <w:rPr>
      <w:position w:val="-14"/>
    </w:rPr>
  </w:style>
  <w:style w:type="character" w:customStyle="1" w:styleId="ImprintPHSlinkEditorialuseonly">
    <w:name w:val="*Imprint PHS link (Editorial use only)"/>
    <w:basedOn w:val="Hyperlink"/>
    <w:uiPriority w:val="1"/>
    <w:qFormat/>
    <w:rsid w:val="005D3601"/>
    <w:rPr>
      <w:b/>
      <w:bCs/>
      <w:color w:val="43358B"/>
      <w:position w:val="-24"/>
      <w:sz w:val="40"/>
    </w:rPr>
  </w:style>
  <w:style w:type="character" w:customStyle="1" w:styleId="showPElogoEditorialuseonly">
    <w:name w:val="*show PE logo (Editorial use only)"/>
    <w:basedOn w:val="hidePElogoEditoraluseonly"/>
    <w:uiPriority w:val="1"/>
    <w:qFormat/>
    <w:rsid w:val="00292910"/>
    <w:rPr>
      <w:vanish w:val="0"/>
      <w:position w:val="0"/>
    </w:rPr>
  </w:style>
  <w:style w:type="paragraph" w:styleId="NormalWeb">
    <w:name w:val="Normal (Web)"/>
    <w:basedOn w:val="Normal"/>
    <w:uiPriority w:val="99"/>
    <w:semiHidden/>
    <w:locked/>
    <w:rsid w:val="00404FBA"/>
    <w:rPr>
      <w:rFonts w:ascii="Times New Roman" w:hAnsi="Times New Roman" w:cs="Times New Roman"/>
      <w:szCs w:val="24"/>
    </w:rPr>
  </w:style>
  <w:style w:type="character" w:styleId="UnresolvedMention">
    <w:name w:val="Unresolved Mention"/>
    <w:basedOn w:val="DefaultParagraphFont"/>
    <w:uiPriority w:val="99"/>
    <w:semiHidden/>
    <w:unhideWhenUsed/>
    <w:rsid w:val="005F29FB"/>
    <w:rPr>
      <w:color w:val="605E5C"/>
      <w:shd w:val="clear" w:color="auto" w:fill="E1DFDD"/>
    </w:rPr>
  </w:style>
  <w:style w:type="paragraph" w:customStyle="1" w:styleId="NormalH1">
    <w:name w:val="Normal H1"/>
    <w:basedOn w:val="Normal"/>
    <w:link w:val="NormalH1Char"/>
    <w:rsid w:val="00782305"/>
    <w:pPr>
      <w:spacing w:before="720"/>
    </w:pPr>
    <w:rPr>
      <w:b/>
      <w:color w:val="43358B"/>
      <w:sz w:val="36"/>
    </w:rPr>
  </w:style>
  <w:style w:type="paragraph" w:customStyle="1" w:styleId="NormalH1numbered">
    <w:name w:val="Normal H1 numbered"/>
    <w:basedOn w:val="NormalH1"/>
    <w:link w:val="NormalH1numberedChar"/>
    <w:rsid w:val="008867DD"/>
    <w:pPr>
      <w:numPr>
        <w:numId w:val="19"/>
      </w:numPr>
    </w:pPr>
  </w:style>
  <w:style w:type="paragraph" w:customStyle="1" w:styleId="NormalH2numbered">
    <w:name w:val="Normal H2 numbered"/>
    <w:basedOn w:val="NormalH1numbered"/>
    <w:link w:val="NormalH2numberedChar"/>
    <w:qFormat/>
    <w:rsid w:val="00817C6A"/>
    <w:pPr>
      <w:numPr>
        <w:ilvl w:val="1"/>
        <w:numId w:val="8"/>
      </w:numPr>
      <w:ind w:left="0"/>
    </w:pPr>
    <w:rPr>
      <w:sz w:val="32"/>
    </w:rPr>
  </w:style>
  <w:style w:type="paragraph" w:customStyle="1" w:styleId="NormalH2">
    <w:name w:val="Normal H2"/>
    <w:basedOn w:val="NormalH2numbered"/>
    <w:qFormat/>
    <w:rsid w:val="00817C6A"/>
    <w:pPr>
      <w:numPr>
        <w:ilvl w:val="0"/>
        <w:numId w:val="0"/>
      </w:numPr>
      <w:spacing w:before="480"/>
    </w:pPr>
  </w:style>
  <w:style w:type="character" w:customStyle="1" w:styleId="NormalH1Char">
    <w:name w:val="Normal H1 Char"/>
    <w:basedOn w:val="DefaultParagraphFont"/>
    <w:link w:val="NormalH1"/>
    <w:rsid w:val="008867DD"/>
    <w:rPr>
      <w:rFonts w:ascii="Arial" w:hAnsi="Arial"/>
      <w:b/>
      <w:color w:val="43358B"/>
      <w:sz w:val="36"/>
    </w:rPr>
  </w:style>
  <w:style w:type="character" w:customStyle="1" w:styleId="NormalH1numberedChar">
    <w:name w:val="Normal H1 numbered Char"/>
    <w:basedOn w:val="NormalH1Char"/>
    <w:link w:val="NormalH1numbered"/>
    <w:rsid w:val="008867DD"/>
    <w:rPr>
      <w:rFonts w:ascii="Arial" w:hAnsi="Arial"/>
      <w:b/>
      <w:color w:val="43358B"/>
      <w:sz w:val="36"/>
    </w:rPr>
  </w:style>
  <w:style w:type="character" w:customStyle="1" w:styleId="NormalH2numberedChar">
    <w:name w:val="Normal H2 numbered Char"/>
    <w:basedOn w:val="NormalH1numberedChar"/>
    <w:link w:val="NormalH2numbered"/>
    <w:rsid w:val="008867DD"/>
    <w:rPr>
      <w:rFonts w:ascii="Arial" w:hAnsi="Arial"/>
      <w:b/>
      <w:color w:val="43358B"/>
      <w:sz w:val="32"/>
    </w:rPr>
  </w:style>
  <w:style w:type="paragraph" w:customStyle="1" w:styleId="NormalH3">
    <w:name w:val="Normal H3"/>
    <w:basedOn w:val="NormalH2"/>
    <w:qFormat/>
    <w:rsid w:val="00526AFA"/>
    <w:rPr>
      <w:color w:val="auto"/>
      <w:sz w:val="28"/>
    </w:rPr>
  </w:style>
  <w:style w:type="paragraph" w:styleId="Revision">
    <w:name w:val="Revision"/>
    <w:hidden/>
    <w:uiPriority w:val="99"/>
    <w:semiHidden/>
    <w:rsid w:val="003E2F9E"/>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440066">
      <w:bodyDiv w:val="1"/>
      <w:marLeft w:val="0"/>
      <w:marRight w:val="0"/>
      <w:marTop w:val="0"/>
      <w:marBottom w:val="0"/>
      <w:divBdr>
        <w:top w:val="none" w:sz="0" w:space="0" w:color="auto"/>
        <w:left w:val="none" w:sz="0" w:space="0" w:color="auto"/>
        <w:bottom w:val="none" w:sz="0" w:space="0" w:color="auto"/>
        <w:right w:val="none" w:sz="0" w:space="0" w:color="auto"/>
      </w:divBdr>
    </w:div>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115951656">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736977493">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19526606">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6.png"/><Relationship Id="rId26" Type="http://schemas.openxmlformats.org/officeDocument/2006/relationships/hyperlink" Target="https://www.gov.uk/government/publications/vaccination-of-individuals-with-uncertain-or-incomplete-immunisation-status" TargetMode="External"/><Relationship Id="rId39" Type="http://schemas.openxmlformats.org/officeDocument/2006/relationships/hyperlink" Target="https://www.gov.uk/government/publications/mumps-the-green-book-chapter-23" TargetMode="External"/><Relationship Id="rId21" Type="http://schemas.openxmlformats.org/officeDocument/2006/relationships/image" Target="media/image7.jpeg"/><Relationship Id="rId34" Type="http://schemas.openxmlformats.org/officeDocument/2006/relationships/hyperlink" Target="https://assets.publishing.service.gov.uk/government/uploads/system/uploads/attachment_data/file/855154/Greenbook_chapter_21_Measles_December_2019.pdf" TargetMode="External"/><Relationship Id="rId42" Type="http://schemas.openxmlformats.org/officeDocument/2006/relationships/hyperlink" Target="https://assets.publishing.service.gov.uk/government/uploads/system/uploads/attachment_data/file/147975/Green-Book-Chapter-23-v2_0.pdf" TargetMode="External"/><Relationship Id="rId47" Type="http://schemas.openxmlformats.org/officeDocument/2006/relationships/hyperlink" Target="https://www.gov.uk/government/publications/measles-the-green-book-chapter-21" TargetMode="External"/><Relationship Id="rId50" Type="http://schemas.openxmlformats.org/officeDocument/2006/relationships/hyperlink" Target="https://www.rpharms.com/Portals/0/RPS%20document%20library/Open%20access/Professional%20standards/SSHM%20and%20Admin/Admin%20of%20Meds%20prof%20guidance.pdf?ver=2019-01-23-145026-567" TargetMode="Externa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phs.otherformats@phs.scot" TargetMode="External"/><Relationship Id="rId29" Type="http://schemas.openxmlformats.org/officeDocument/2006/relationships/hyperlink" Target="https://assets.publishing.service.gov.uk/government/uploads/system/uploads/attachment_data/file/855154/Greenbook_chapter_21_Measles_December_2019.pdf" TargetMode="External"/><Relationship Id="rId11" Type="http://schemas.openxmlformats.org/officeDocument/2006/relationships/footer" Target="footer1.xml"/><Relationship Id="rId24" Type="http://schemas.openxmlformats.org/officeDocument/2006/relationships/footer" Target="footer4.xml"/><Relationship Id="rId32" Type="http://schemas.openxmlformats.org/officeDocument/2006/relationships/hyperlink" Target="https://assets.publishing.service.gov.uk/government/uploads/system/uploads/attachment_data/file/655225/Greenbook_chapter_6.pdf" TargetMode="External"/><Relationship Id="rId37" Type="http://schemas.openxmlformats.org/officeDocument/2006/relationships/hyperlink" Target="https://assets.publishing.service.gov.uk/media/65bb924dcc6fd600145dbe4d/20240123_national-measles-guidelines-February-2024.pdf" TargetMode="External"/><Relationship Id="rId40" Type="http://schemas.openxmlformats.org/officeDocument/2006/relationships/hyperlink" Target="https://www.gov.uk/government/publications/rubella-the-green-book-chapter-28" TargetMode="External"/><Relationship Id="rId45" Type="http://schemas.openxmlformats.org/officeDocument/2006/relationships/hyperlink" Target="http://www.mhra.gov.uk/yellowcard" TargetMode="External"/><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www.nationalarchives.gov.uk/doc/open-government-licence/" TargetMode="External"/><Relationship Id="rId31" Type="http://schemas.openxmlformats.org/officeDocument/2006/relationships/hyperlink" Target="https://assets.publishing.service.gov.uk/government/uploads/system/uploads/attachment_data/file/855154/Greenbook_chapter_21_Measles_December_2019.pdf" TargetMode="External"/><Relationship Id="rId44" Type="http://schemas.openxmlformats.org/officeDocument/2006/relationships/hyperlink" Target="http://www.mhra.gov.uk/yellowcard" TargetMode="External"/><Relationship Id="rId52" Type="http://schemas.openxmlformats.org/officeDocument/2006/relationships/hyperlink" Target="https://www.gov.uk/government/publications/national-measles-guidelin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footer" Target="footer3.xml"/><Relationship Id="rId27" Type="http://schemas.openxmlformats.org/officeDocument/2006/relationships/hyperlink" Target="https://assets.publishing.service.gov.uk/government/uploads/system/uploads/attachment_data/file/655225/Greenbook_chapter_6.pdf" TargetMode="External"/><Relationship Id="rId30" Type="http://schemas.openxmlformats.org/officeDocument/2006/relationships/hyperlink" Target="https://assets.publishing.service.gov.uk/government/uploads/system/uploads/attachment_data/file/855154/Greenbook_chapter_21_Measles_December_2019.pdf" TargetMode="External"/><Relationship Id="rId35" Type="http://schemas.openxmlformats.org/officeDocument/2006/relationships/hyperlink" Target="https://assets.publishing.service.gov.uk/government/uploads/system/uploads/attachment_data/file/855154/Greenbook_chapter_21_Measles_December_2019.pdf" TargetMode="External"/><Relationship Id="rId43" Type="http://schemas.openxmlformats.org/officeDocument/2006/relationships/hyperlink" Target="https://assets.publishing.service.gov.uk/government/uploads/system/uploads/attachment_data/file/148498/Green-Book-Chapter-28-v2_0.pdf" TargetMode="External"/><Relationship Id="rId48" Type="http://schemas.openxmlformats.org/officeDocument/2006/relationships/hyperlink" Target="https://www.gov.uk/government/publications/mumps-the-green-book-chapter-23" TargetMode="External"/><Relationship Id="rId8" Type="http://schemas.openxmlformats.org/officeDocument/2006/relationships/webSettings" Target="webSettings.xml"/><Relationship Id="rId51" Type="http://schemas.openxmlformats.org/officeDocument/2006/relationships/hyperlink" Target="https://www.rpharms.com/recognition/setting-professional-standards/safe-and-secure-handling-of-medicines/professional-guidance-on-the-safe-and-secure-handling-of-medicines"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image" Target="media/image5.png"/><Relationship Id="rId25" Type="http://schemas.openxmlformats.org/officeDocument/2006/relationships/footer" Target="footer5.xml"/><Relationship Id="rId33" Type="http://schemas.openxmlformats.org/officeDocument/2006/relationships/hyperlink" Target="https://assets.publishing.service.gov.uk/government/uploads/system/uploads/attachment_data/file/855154/Greenbook_chapter_21_Measles_December_2019.pdf" TargetMode="External"/><Relationship Id="rId38" Type="http://schemas.openxmlformats.org/officeDocument/2006/relationships/hyperlink" Target="https://www.gov.uk/government/publications/measles-the-green-book-chapter-21" TargetMode="External"/><Relationship Id="rId46" Type="http://schemas.openxmlformats.org/officeDocument/2006/relationships/hyperlink" Target="https://www.gov.uk/government/collections/immunisation-against-infectious-disease-the-green-book" TargetMode="External"/><Relationship Id="rId20" Type="http://schemas.openxmlformats.org/officeDocument/2006/relationships/hyperlink" Target="http://www.publichealthscotland.scot/ogl" TargetMode="External"/><Relationship Id="rId41" Type="http://schemas.openxmlformats.org/officeDocument/2006/relationships/hyperlink" Target="https://assets.publishing.service.gov.uk/government/uploads/system/uploads/attachment_data/file/855154/Greenbook_chapter_21_Measles_December_2019.pdf" TargetMode="External"/><Relationship Id="rId54"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hyperlink" Target="http://www.publichealthscotland.scot" TargetMode="External"/><Relationship Id="rId28" Type="http://schemas.openxmlformats.org/officeDocument/2006/relationships/hyperlink" Target="https://assets.publishing.service.gov.uk/government/uploads/system/uploads/attachment_data/file/655225/Greenbook_chapter_6.pdf" TargetMode="External"/><Relationship Id="rId36" Type="http://schemas.openxmlformats.org/officeDocument/2006/relationships/hyperlink" Target="https://www.gov.uk/government/publications/vaccination-of-individuals-with-uncertain-or-incomplete-immunisation-status" TargetMode="External"/><Relationship Id="rId49" Type="http://schemas.openxmlformats.org/officeDocument/2006/relationships/hyperlink" Target="https://www.gov.uk/government/publications/rubella-the-green-book-chapter-28"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im15\OneDrive%20-%20NHS%20Scotland\Documents\YYYY-MM-DD-pgd-name-of-pgd-v7_unlocke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3F92F7667AE4EE1A4FABC353B94AF53"/>
        <w:category>
          <w:name w:val="General"/>
          <w:gallery w:val="placeholder"/>
        </w:category>
        <w:types>
          <w:type w:val="bbPlcHdr"/>
        </w:types>
        <w:behaviors>
          <w:behavior w:val="content"/>
        </w:behaviors>
        <w:guid w:val="{1A3B3E93-03E0-4AD5-B6A5-6E1B000BDCE3}"/>
      </w:docPartPr>
      <w:docPartBody>
        <w:p w:rsidR="00BD69B3" w:rsidRDefault="0044225D">
          <w:pPr>
            <w:pStyle w:val="43F92F7667AE4EE1A4FABC353B94AF53"/>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Frutiger-Light">
    <w:altName w:val="Malgun Gothic"/>
    <w:panose1 w:val="00000000000000000000"/>
    <w:charset w:val="81"/>
    <w:family w:val="swiss"/>
    <w:notTrueType/>
    <w:pitch w:val="default"/>
    <w:sig w:usb0="00000001"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9B3"/>
    <w:rsid w:val="0021391A"/>
    <w:rsid w:val="002554E7"/>
    <w:rsid w:val="00275F79"/>
    <w:rsid w:val="002B0DCF"/>
    <w:rsid w:val="002B21CA"/>
    <w:rsid w:val="003C6E2A"/>
    <w:rsid w:val="0044225D"/>
    <w:rsid w:val="004D1270"/>
    <w:rsid w:val="006D1FAF"/>
    <w:rsid w:val="008F1E22"/>
    <w:rsid w:val="00B075BB"/>
    <w:rsid w:val="00B351F6"/>
    <w:rsid w:val="00BD69B3"/>
    <w:rsid w:val="00C230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3F92F7667AE4EE1A4FABC353B94AF53">
    <w:name w:val="43F92F7667AE4EE1A4FABC353B94AF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05339c63-2a87-4132-9986-3bce0e5c07f8">
      <UserInfo>
        <DisplayName>William Malcolm</DisplayName>
        <AccountId>41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919F0D811FB1246921F06E047D9E47F" ma:contentTypeVersion="6" ma:contentTypeDescription="Create a new document." ma:contentTypeScope="" ma:versionID="36d068a5cd78ca8eca06a9e3ef117fa1">
  <xsd:schema xmlns:xsd="http://www.w3.org/2001/XMLSchema" xmlns:xs="http://www.w3.org/2001/XMLSchema" xmlns:p="http://schemas.microsoft.com/office/2006/metadata/properties" xmlns:ns2="e8e2604e-a994-475a-8ac2-9aa1f82d5f8d" xmlns:ns3="05339c63-2a87-4132-9986-3bce0e5c07f8" targetNamespace="http://schemas.microsoft.com/office/2006/metadata/properties" ma:root="true" ma:fieldsID="5e6a4176ddd51fd8d21d796a2ac67961" ns2:_="" ns3:_="">
    <xsd:import namespace="e8e2604e-a994-475a-8ac2-9aa1f82d5f8d"/>
    <xsd:import namespace="05339c63-2a87-4132-9986-3bce0e5c07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e2604e-a994-475a-8ac2-9aa1f82d5f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339c63-2a87-4132-9986-3bce0e5c07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5626A0-B555-49AD-A98C-802E57777F67}">
  <ds:schemaRefs>
    <ds:schemaRef ds:uri="http://schemas.openxmlformats.org/officeDocument/2006/bibliography"/>
  </ds:schemaRefs>
</ds:datastoreItem>
</file>

<file path=customXml/itemProps2.xml><?xml version="1.0" encoding="utf-8"?>
<ds:datastoreItem xmlns:ds="http://schemas.openxmlformats.org/officeDocument/2006/customXml" ds:itemID="{6BA2688C-114F-4086-A3A1-6C7FB0D8A225}">
  <ds:schemaRefs>
    <ds:schemaRef ds:uri="http://purl.org/dc/elements/1.1/"/>
    <ds:schemaRef ds:uri="http://schemas.microsoft.com/office/2006/metadata/properties"/>
    <ds:schemaRef ds:uri="http://purl.org/dc/dcmitype/"/>
    <ds:schemaRef ds:uri="http://schemas.openxmlformats.org/package/2006/metadata/core-properties"/>
    <ds:schemaRef ds:uri="http://purl.org/dc/terms/"/>
    <ds:schemaRef ds:uri="05339c63-2a87-4132-9986-3bce0e5c07f8"/>
    <ds:schemaRef ds:uri="http://schemas.microsoft.com/office/2006/documentManagement/types"/>
    <ds:schemaRef ds:uri="http://schemas.microsoft.com/office/infopath/2007/PartnerControls"/>
    <ds:schemaRef ds:uri="e8e2604e-a994-475a-8ac2-9aa1f82d5f8d"/>
    <ds:schemaRef ds:uri="http://www.w3.org/XML/1998/namespace"/>
  </ds:schemaRefs>
</ds:datastoreItem>
</file>

<file path=customXml/itemProps3.xml><?xml version="1.0" encoding="utf-8"?>
<ds:datastoreItem xmlns:ds="http://schemas.openxmlformats.org/officeDocument/2006/customXml" ds:itemID="{F77B1A88-6318-4615-A05B-B8E08776EE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e2604e-a994-475a-8ac2-9aa1f82d5f8d"/>
    <ds:schemaRef ds:uri="05339c63-2a87-4132-9986-3bce0e5c0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9CB5D3-5BFD-4BBC-9F32-751451F9C34C}">
  <ds:schemaRefs>
    <ds:schemaRef ds:uri="http://schemas.microsoft.com/sharepoint/v3/contenttype/forms"/>
  </ds:schemaRefs>
</ds:datastoreItem>
</file>

<file path=docMetadata/LabelInfo.xml><?xml version="1.0" encoding="utf-8"?>
<clbl:labelList xmlns:clbl="http://schemas.microsoft.com/office/2020/mipLabelMetadata">
  <clbl:label id="{b4199b9c-a89e-442f-9799-431511f14748}" enabled="1" method="Privileged" siteId="{10efe0bd-a030-4bca-809c-b5e6745e499a}" removed="0"/>
</clbl:labelList>
</file>

<file path=docProps/app.xml><?xml version="1.0" encoding="utf-8"?>
<Properties xmlns="http://schemas.openxmlformats.org/officeDocument/2006/extended-properties" xmlns:vt="http://schemas.openxmlformats.org/officeDocument/2006/docPropsVTypes">
  <Template>YYYY-MM-DD-pgd-name-of-pgd-v7_unlocked</Template>
  <TotalTime>28</TotalTime>
  <Pages>25</Pages>
  <Words>4613</Words>
  <Characters>26300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Administration of measles, mumps and rubella (MMR) vaccine</vt:lpstr>
    </vt:vector>
  </TitlesOfParts>
  <Company>Public Health Scotland</Company>
  <LinksUpToDate>false</LinksUpToDate>
  <CharactersWithSpaces>30852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of measles, mumps and rubella (MMR) vaccine</dc:title>
  <dc:subject>vaccines, immunisation, measles, mumps, rubella, MMR</dc:subject>
  <dc:creator>Public Health Scotland</dc:creator>
  <cp:keywords>vaccines, immunisation, measles, mumps, rubella, MMR</cp:keywords>
  <dc:description/>
  <cp:lastModifiedBy>Tracy Taylor</cp:lastModifiedBy>
  <cp:revision>13</cp:revision>
  <cp:lastPrinted>2021-11-12T09:52:00Z</cp:lastPrinted>
  <dcterms:created xsi:type="dcterms:W3CDTF">2024-02-28T09:08:00Z</dcterms:created>
  <dcterms:modified xsi:type="dcterms:W3CDTF">2024-03-01T14:58:00Z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0x010100B919F0D811FB1246921F06E047D9E47F</vt:lpwstr>
  </property>
</Properties>
</file>