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50D04B" w14:textId="77777777" w:rsidR="000C5B5F" w:rsidRPr="00B104AA" w:rsidRDefault="00021AE4" w:rsidP="00526AFA">
      <w:pPr>
        <w:pStyle w:val="Heading3"/>
        <w:rPr>
          <w:rStyle w:val="Restrictedstatisticstextforpublicationreleases"/>
          <w:b/>
          <w:color w:val="auto"/>
          <w:sz w:val="24"/>
        </w:rPr>
        <w:sectPr w:rsidR="000C5B5F" w:rsidRPr="00B104AA" w:rsidSect="00112B56">
          <w:headerReference w:type="even" r:id="rId11"/>
          <w:headerReference w:type="default" r:id="rId12"/>
          <w:footerReference w:type="even" r:id="rId13"/>
          <w:footerReference w:type="default" r:id="rId14"/>
          <w:headerReference w:type="first" r:id="rId15"/>
          <w:footerReference w:type="first" r:id="rId16"/>
          <w:footnotePr>
            <w:numFmt w:val="lowerRoman"/>
          </w:footnotePr>
          <w:endnotePr>
            <w:numFmt w:val="decimal"/>
          </w:endnotePr>
          <w:pgSz w:w="11906" w:h="16838"/>
          <w:pgMar w:top="8222" w:right="737" w:bottom="1985" w:left="1418" w:header="737" w:footer="1134" w:gutter="0"/>
          <w:cols w:space="708"/>
          <w:titlePg/>
          <w:docGrid w:linePitch="360"/>
        </w:sectPr>
      </w:pPr>
      <w:bookmarkStart w:id="6" w:name="_Hlk125987243"/>
      <w:r w:rsidRPr="00BB54CC">
        <w:rPr>
          <w:noProof/>
          <w:lang w:eastAsia="en-GB"/>
        </w:rPr>
        <mc:AlternateContent>
          <mc:Choice Requires="wps">
            <w:drawing>
              <wp:inline distT="0" distB="0" distL="0" distR="0" wp14:anchorId="33D1A8EF" wp14:editId="39027E6A">
                <wp:extent cx="5580000" cy="3898900"/>
                <wp:effectExtent l="0" t="0" r="1905" b="6350"/>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0000" cy="3898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bookmarkStart w:id="7" w:name="_Toc324429979" w:displacedByCustomXml="next"/>
                          <w:bookmarkStart w:id="8" w:name="_Toc324429932" w:displacedByCustomXml="next"/>
                          <w:bookmarkStart w:id="9" w:name="_Toc323040046" w:displacedByCustomXml="next"/>
                          <w:bookmarkStart w:id="10" w:name="_Toc322600037" w:displacedByCustomXml="next"/>
                          <w:bookmarkStart w:id="11" w:name="_Toc322600015" w:displacedByCustomXml="next"/>
                          <w:bookmarkStart w:id="12" w:name="_Toc322599008" w:displacedByCustomXml="next"/>
                          <w:sdt>
                            <w:sdtPr>
                              <w:alias w:val="Title"/>
                              <w:tag w:val=""/>
                              <w:id w:val="1997915227"/>
                              <w:placeholder>
                                <w:docPart w:val="D6D9E0FEEEBF455BB5CB72A4D46E6706"/>
                              </w:placeholder>
                              <w:dataBinding w:prefixMappings="xmlns:ns0='http://purl.org/dc/elements/1.1/' xmlns:ns1='http://schemas.openxmlformats.org/package/2006/metadata/core-properties' " w:xpath="/ns1:coreProperties[1]/ns0:title[1]" w:storeItemID="{6C3C8BC8-F283-45AE-878A-BAB7291924A1}"/>
                              <w:text/>
                            </w:sdtPr>
                            <w:sdtEndPr/>
                            <w:sdtContent>
                              <w:p w14:paraId="05BE80F8" w14:textId="000E8CA9" w:rsidR="00D202E2" w:rsidRPr="00C80488" w:rsidRDefault="00396F37" w:rsidP="00DA3A21">
                                <w:pPr>
                                  <w:pStyle w:val="PublicationTitle"/>
                                </w:pPr>
                                <w:r>
                                  <w:t>Administration of rotavirus vaccine, Live (Rotarix®)</w:t>
                                </w:r>
                              </w:p>
                            </w:sdtContent>
                          </w:sdt>
                          <w:p w14:paraId="78666762" w14:textId="77777777" w:rsidR="00D202E2" w:rsidRPr="00204BF4" w:rsidRDefault="00D202E2" w:rsidP="00DA3A21">
                            <w:pPr>
                              <w:pStyle w:val="Publicationsubtitle"/>
                            </w:pPr>
                            <w:r>
                              <w:t>Patient group direction (PGD) template</w:t>
                            </w:r>
                          </w:p>
                          <w:p w14:paraId="0B990AC6" w14:textId="3A29A078" w:rsidR="00D202E2" w:rsidRPr="00A70E7E" w:rsidRDefault="00D202E2" w:rsidP="006A2F27">
                            <w:pPr>
                              <w:pStyle w:val="Publicationdate"/>
                            </w:pPr>
                            <w:r w:rsidRPr="00A70E7E">
                              <w:t>Publication date:</w:t>
                            </w:r>
                            <w:r>
                              <w:t xml:space="preserve"> </w:t>
                            </w:r>
                            <w:bookmarkEnd w:id="12"/>
                            <w:bookmarkEnd w:id="11"/>
                            <w:bookmarkEnd w:id="10"/>
                            <w:bookmarkEnd w:id="9"/>
                            <w:bookmarkEnd w:id="8"/>
                            <w:bookmarkEnd w:id="7"/>
                            <w:r w:rsidR="006A3179">
                              <w:t>22</w:t>
                            </w:r>
                            <w:r w:rsidR="00A07883">
                              <w:t xml:space="preserve"> Ju</w:t>
                            </w:r>
                            <w:r w:rsidR="00E14FA5">
                              <w:t>ly</w:t>
                            </w:r>
                            <w:r w:rsidR="00A07883">
                              <w:t xml:space="preserve"> 2024</w:t>
                            </w:r>
                          </w:p>
                        </w:txbxContent>
                      </wps:txbx>
                      <wps:bodyPr rot="0" vert="horz" wrap="square" lIns="0" tIns="0" rIns="0" bIns="0" anchor="t" anchorCtr="0" upright="1">
                        <a:noAutofit/>
                      </wps:bodyPr>
                    </wps:wsp>
                  </a:graphicData>
                </a:graphic>
              </wp:inline>
            </w:drawing>
          </mc:Choice>
          <mc:Fallback>
            <w:pict>
              <v:shapetype w14:anchorId="33D1A8EF" id="_x0000_t202" coordsize="21600,21600" o:spt="202" path="m,l,21600r21600,l21600,xe">
                <v:stroke joinstyle="miter"/>
                <v:path gradientshapeok="t" o:connecttype="rect"/>
              </v:shapetype>
              <v:shape id="Text Box 2" o:spid="_x0000_s1026" type="#_x0000_t202" style="width:439.35pt;height:3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" filled="f" stroked="f">
                <v:textbox inset="0,0,0,0">
                  <w:txbxContent>
                    <w:bookmarkStart w:id="13" w:name="_Toc324429979" w:displacedByCustomXml="next"/>
                    <w:bookmarkStart w:id="14" w:name="_Toc324429932" w:displacedByCustomXml="next"/>
                    <w:bookmarkStart w:id="15" w:name="_Toc323040046" w:displacedByCustomXml="next"/>
                    <w:bookmarkStart w:id="16" w:name="_Toc322600037" w:displacedByCustomXml="next"/>
                    <w:bookmarkStart w:id="17" w:name="_Toc322600015" w:displacedByCustomXml="next"/>
                    <w:bookmarkStart w:id="18" w:name="_Toc322599008" w:displacedByCustomXml="next"/>
                    <w:sdt>
                      <w:sdtPr>
                        <w:alias w:val="Title"/>
                        <w:tag w:val=""/>
                        <w:id w:val="1997915227"/>
                        <w:placeholder>
                          <w:docPart w:val="D6D9E0FEEEBF455BB5CB72A4D46E6706"/>
                        </w:placeholder>
                        <w:dataBinding w:prefixMappings="xmlns:ns0='http://purl.org/dc/elements/1.1/' xmlns:ns1='http://schemas.openxmlformats.org/package/2006/metadata/core-properties' " w:xpath="/ns1:coreProperties[1]/ns0:title[1]" w:storeItemID="{6C3C8BC8-F283-45AE-878A-BAB7291924A1}"/>
                        <w:text/>
                      </w:sdtPr>
                      <w:sdtEndPr/>
                      <w:sdtContent>
                        <w:p w14:paraId="05BE80F8" w14:textId="000E8CA9" w:rsidR="00D202E2" w:rsidRPr="00C80488" w:rsidRDefault="00396F37" w:rsidP="00DA3A21">
                          <w:pPr>
                            <w:pStyle w:val="PublicationTitle"/>
                          </w:pPr>
                          <w:r>
                            <w:t>Administration of rotavirus vaccine, Live (Rotarix®)</w:t>
                          </w:r>
                        </w:p>
                      </w:sdtContent>
                    </w:sdt>
                    <w:p w14:paraId="78666762" w14:textId="77777777" w:rsidR="00D202E2" w:rsidRPr="00204BF4" w:rsidRDefault="00D202E2" w:rsidP="00DA3A21">
                      <w:pPr>
                        <w:pStyle w:val="Publicationsubtitle"/>
                      </w:pPr>
                      <w:r>
                        <w:t>Patient group direction (PGD) template</w:t>
                      </w:r>
                    </w:p>
                    <w:p w14:paraId="0B990AC6" w14:textId="3A29A078" w:rsidR="00D202E2" w:rsidRPr="00A70E7E" w:rsidRDefault="00D202E2" w:rsidP="006A2F27">
                      <w:pPr>
                        <w:pStyle w:val="Publicationdate"/>
                      </w:pPr>
                      <w:r w:rsidRPr="00A70E7E">
                        <w:t>Publication date:</w:t>
                      </w:r>
                      <w:r>
                        <w:t xml:space="preserve"> </w:t>
                      </w:r>
                      <w:bookmarkEnd w:id="18"/>
                      <w:bookmarkEnd w:id="17"/>
                      <w:bookmarkEnd w:id="16"/>
                      <w:bookmarkEnd w:id="15"/>
                      <w:bookmarkEnd w:id="14"/>
                      <w:bookmarkEnd w:id="13"/>
                      <w:r w:rsidR="006A3179">
                        <w:t>22</w:t>
                      </w:r>
                      <w:r w:rsidR="00A07883">
                        <w:t xml:space="preserve"> Ju</w:t>
                      </w:r>
                      <w:r w:rsidR="00E14FA5">
                        <w:t>ly</w:t>
                      </w:r>
                      <w:r w:rsidR="00A07883">
                        <w:t xml:space="preserve"> 2024</w:t>
                      </w:r>
                    </w:p>
                  </w:txbxContent>
                </v:textbox>
                <w10:anchorlock/>
              </v:shape>
            </w:pict>
          </mc:Fallback>
        </mc:AlternateContent>
      </w:r>
    </w:p>
    <w:p w14:paraId="5D53BE76" w14:textId="77777777" w:rsidR="00CA59CF" w:rsidRDefault="00CA59CF" w:rsidP="00CA59CF">
      <w:r>
        <w:rPr>
          <w:noProof/>
          <w:lang w:eastAsia="en-GB"/>
        </w:rPr>
        <w:lastRenderedPageBreak/>
        <w:drawing>
          <wp:inline distT="0" distB="0" distL="0" distR="0" wp14:anchorId="027EDA6C" wp14:editId="578E099F">
            <wp:extent cx="5759450" cy="1092835"/>
            <wp:effectExtent l="0" t="0" r="0" b="0"/>
            <wp:docPr id="15" name="Picture 15" descr="Alternative format options icons showing, translations, easy read, BSL, audio, large print and Brail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lternative format options icons showing, translations, easy read, BSL, audio, large print and Braille."/>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59450" cy="1092835"/>
                    </a:xfrm>
                    <a:prstGeom prst="rect">
                      <a:avLst/>
                    </a:prstGeom>
                    <a:noFill/>
                    <a:ln>
                      <a:noFill/>
                    </a:ln>
                  </pic:spPr>
                </pic:pic>
              </a:graphicData>
            </a:graphic>
          </wp:inline>
        </w:drawing>
      </w:r>
    </w:p>
    <w:p w14:paraId="70BEA050" w14:textId="77777777" w:rsidR="00CA59CF" w:rsidRDefault="00CA59CF" w:rsidP="00CA59CF">
      <w:pPr>
        <w:pStyle w:val="ImprintpagetextEditorialuseonly"/>
      </w:pPr>
      <w:r>
        <w:t>Translations and other formats are available on request at:</w:t>
      </w:r>
    </w:p>
    <w:p w14:paraId="5C190908" w14:textId="77777777" w:rsidR="00CA59CF" w:rsidRDefault="00CA59CF" w:rsidP="00CA59CF">
      <w:pPr>
        <w:pStyle w:val="ImprintpagetextEditorialuseonly"/>
        <w:rPr>
          <w:rStyle w:val="Bold"/>
        </w:rPr>
      </w:pPr>
      <w:r>
        <w:rPr>
          <w:noProof/>
          <w:position w:val="-14"/>
          <w:lang w:eastAsia="en-GB"/>
        </w:rPr>
        <w:drawing>
          <wp:inline distT="0" distB="0" distL="0" distR="0" wp14:anchorId="7F13EEEE" wp14:editId="16D52ACA">
            <wp:extent cx="285115" cy="273050"/>
            <wp:effectExtent l="0" t="0" r="635" b="0"/>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a:extLst>
                        <a:ext uri="{C183D7F6-B498-43B3-948B-1728B52AA6E4}">
                          <adec:decorative xmlns:adec="http://schemas.microsoft.com/office/drawing/2017/decorative" val="1"/>
                        </a:ext>
                      </a:extLst>
                    </pic:cNvPr>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85115" cy="273050"/>
                    </a:xfrm>
                    <a:prstGeom prst="rect">
                      <a:avLst/>
                    </a:prstGeom>
                    <a:noFill/>
                    <a:ln>
                      <a:noFill/>
                    </a:ln>
                  </pic:spPr>
                </pic:pic>
              </a:graphicData>
            </a:graphic>
          </wp:inline>
        </w:drawing>
      </w:r>
      <w:r>
        <w:rPr>
          <w:rStyle w:val="ImprintpageiconsEditorialuseonly"/>
        </w:rPr>
        <w:t xml:space="preserve"> </w:t>
      </w:r>
      <w:hyperlink r:id="rId19" w:history="1">
        <w:r w:rsidRPr="00C11B24">
          <w:rPr>
            <w:rStyle w:val="Hyperlink"/>
          </w:rPr>
          <w:t>phs.otherformats@phs.scot</w:t>
        </w:r>
      </w:hyperlink>
      <w:r>
        <w:rPr>
          <w:b/>
          <w:bCs/>
          <w:color w:val="43358B"/>
        </w:rPr>
        <w:br/>
      </w:r>
      <w:r>
        <w:rPr>
          <w:noProof/>
          <w:position w:val="-14"/>
          <w:lang w:eastAsia="en-GB"/>
        </w:rPr>
        <w:drawing>
          <wp:inline distT="0" distB="0" distL="0" distR="0" wp14:anchorId="4177ED71" wp14:editId="43E3D7A8">
            <wp:extent cx="285115" cy="285115"/>
            <wp:effectExtent l="0" t="0" r="635" b="635"/>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a:extLst>
                        <a:ext uri="{C183D7F6-B498-43B3-948B-1728B52AA6E4}">
                          <adec:decorative xmlns:adec="http://schemas.microsoft.com/office/drawing/2017/decorative" val="1"/>
                        </a:ext>
                      </a:extLst>
                    </pic:cNvPr>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85115" cy="285115"/>
                    </a:xfrm>
                    <a:prstGeom prst="rect">
                      <a:avLst/>
                    </a:prstGeom>
                    <a:noFill/>
                    <a:ln>
                      <a:noFill/>
                    </a:ln>
                  </pic:spPr>
                </pic:pic>
              </a:graphicData>
            </a:graphic>
          </wp:inline>
        </w:drawing>
      </w:r>
      <w:r>
        <w:rPr>
          <w:rStyle w:val="ImprintpageiconsEditorialuseonly"/>
        </w:rPr>
        <w:t xml:space="preserve"> </w:t>
      </w:r>
      <w:r>
        <w:rPr>
          <w:rStyle w:val="Bold"/>
        </w:rPr>
        <w:t>0131 314 5300</w:t>
      </w:r>
    </w:p>
    <w:p w14:paraId="477C6E5E" w14:textId="77777777" w:rsidR="00CA59CF" w:rsidRDefault="00CA59CF" w:rsidP="00CA59CF">
      <w:pPr>
        <w:pStyle w:val="ImprintpagetextEditorialuseonly"/>
        <w:rPr>
          <w:rStyle w:val="Bold"/>
        </w:rPr>
      </w:pPr>
    </w:p>
    <w:p w14:paraId="0BA2ECA9" w14:textId="77777777" w:rsidR="00CA59CF" w:rsidRDefault="00CA59CF" w:rsidP="00CA59CF">
      <w:pPr>
        <w:pStyle w:val="ImprintpagetextEditorialuseonly"/>
        <w:rPr>
          <w:rStyle w:val="Bold"/>
        </w:rPr>
      </w:pPr>
    </w:p>
    <w:p w14:paraId="045DC113" w14:textId="77777777" w:rsidR="00CA59CF" w:rsidRDefault="00CA59CF" w:rsidP="00CA59CF">
      <w:pPr>
        <w:pStyle w:val="ImprintpagetextEditorialuseonly"/>
        <w:spacing w:after="360"/>
      </w:pPr>
      <w:r>
        <w:t xml:space="preserve">Public Health Scotland is Scotland's </w:t>
      </w:r>
      <w:r>
        <w:br/>
        <w:t xml:space="preserve">national agency for improving and </w:t>
      </w:r>
      <w:r>
        <w:br/>
        <w:t xml:space="preserve">protecting the health and wellbeing </w:t>
      </w:r>
      <w:r>
        <w:br/>
        <w:t>of Scotland's people.</w:t>
      </w:r>
    </w:p>
    <w:p w14:paraId="1BC4B9CA" w14:textId="296ED3EF" w:rsidR="00CA59CF" w:rsidRDefault="00CA59CF" w:rsidP="00CA59CF">
      <w:pPr>
        <w:pStyle w:val="ImprintpagetextEditorialuseonly"/>
      </w:pPr>
      <w:r>
        <w:t>© Public Health Scotland</w:t>
      </w:r>
      <w:r w:rsidR="007544E3">
        <w:t xml:space="preserve"> </w:t>
      </w:r>
      <w:r w:rsidR="007D22FE">
        <w:t>202</w:t>
      </w:r>
      <w:r w:rsidR="001900C8">
        <w:t>4</w:t>
      </w:r>
    </w:p>
    <w:p w14:paraId="65184396" w14:textId="77777777" w:rsidR="00CA59CF" w:rsidRDefault="00CA59CF" w:rsidP="00CA59CF">
      <w:pPr>
        <w:pStyle w:val="ImprintpagetextEditorialuseonly"/>
      </w:pPr>
    </w:p>
    <w:p w14:paraId="6EE5BD16" w14:textId="77777777" w:rsidR="00CA59CF" w:rsidRPr="007A5E73" w:rsidRDefault="00CA59CF" w:rsidP="00CA59CF">
      <w:pPr>
        <w:pStyle w:val="ImprintpagetextEditorialuseonly"/>
      </w:pPr>
      <w:r w:rsidRPr="007A5E73">
        <w:rPr>
          <w:noProof/>
          <w:lang w:eastAsia="en-GB"/>
        </w:rPr>
        <w:drawing>
          <wp:inline distT="0" distB="0" distL="0" distR="0" wp14:anchorId="26344998" wp14:editId="3EF81D71">
            <wp:extent cx="902335" cy="427355"/>
            <wp:effectExtent l="0" t="0" r="0" b="0"/>
            <wp:docPr id="7" name="Picture 7" descr="Open Government Licen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pen Government Licence logo"/>
                    <pic:cNvPicPr>
                      <a:picLocks noChangeAspect="1" noChangeArrowheads="1"/>
                    </pic:cNvPicPr>
                  </pic:nvPicPr>
                  <pic:blipFill>
                    <a:blip r:embed="rId21">
                      <a:extLst>
                        <a:ext uri="{28A0092B-C50C-407E-A947-70E740481C1C}">
                          <a14:useLocalDpi xmlns:a14="http://schemas.microsoft.com/office/drawing/2010/main" val="0"/>
                        </a:ext>
                      </a:extLst>
                    </a:blip>
                    <a:srcRect t="4553"/>
                    <a:stretch>
                      <a:fillRect/>
                    </a:stretch>
                  </pic:blipFill>
                  <pic:spPr bwMode="auto">
                    <a:xfrm>
                      <a:off x="0" y="0"/>
                      <a:ext cx="902335" cy="427355"/>
                    </a:xfrm>
                    <a:prstGeom prst="rect">
                      <a:avLst/>
                    </a:prstGeom>
                    <a:noFill/>
                    <a:ln>
                      <a:noFill/>
                    </a:ln>
                  </pic:spPr>
                </pic:pic>
              </a:graphicData>
            </a:graphic>
          </wp:inline>
        </w:drawing>
      </w:r>
      <w:r w:rsidRPr="007A5E73">
        <w:br/>
        <w:t xml:space="preserve">This publication is licensed for re-use </w:t>
      </w:r>
      <w:r w:rsidRPr="007A5E73">
        <w:br/>
        <w:t xml:space="preserve">under the </w:t>
      </w:r>
      <w:hyperlink r:id="rId22" w:history="1">
        <w:r w:rsidRPr="007A5E73">
          <w:rPr>
            <w:rStyle w:val="Hyperlink"/>
          </w:rPr>
          <w:t>Open Government Licence v3.0</w:t>
        </w:r>
      </w:hyperlink>
      <w:r w:rsidRPr="007A5E73">
        <w:t>.</w:t>
      </w:r>
    </w:p>
    <w:p w14:paraId="7E93EEE6" w14:textId="77777777" w:rsidR="00CA59CF" w:rsidRPr="007A5E73" w:rsidRDefault="00CA59CF" w:rsidP="00CA59CF">
      <w:pPr>
        <w:pStyle w:val="ImprintpagetextEditorialuseonly"/>
        <w:rPr>
          <w:rStyle w:val="Hyperlink"/>
        </w:rPr>
      </w:pPr>
      <w:r w:rsidRPr="007A5E73">
        <w:t xml:space="preserve">For more information, visit </w:t>
      </w:r>
      <w:r w:rsidRPr="007A5E73">
        <w:br/>
      </w:r>
      <w:hyperlink r:id="rId23" w:history="1">
        <w:r w:rsidRPr="007A5E73">
          <w:rPr>
            <w:rStyle w:val="Hyperlink"/>
          </w:rPr>
          <w:t>www.publichealthscotland.scot/ogl</w:t>
        </w:r>
      </w:hyperlink>
      <w:r w:rsidRPr="007A5E73">
        <w:rPr>
          <w:rStyle w:val="Hyperlink"/>
        </w:rPr>
        <w:t xml:space="preserve"> </w:t>
      </w:r>
    </w:p>
    <w:p w14:paraId="0C40DBC7" w14:textId="77777777" w:rsidR="00CA59CF" w:rsidRPr="007A5E73" w:rsidRDefault="00CA59CF" w:rsidP="00CA59CF"/>
    <w:p w14:paraId="2F3C1C43" w14:textId="77777777" w:rsidR="00CA59CF" w:rsidRPr="007A5E73" w:rsidRDefault="00CA59CF" w:rsidP="00CA59CF">
      <w:pPr>
        <w:rPr>
          <w:rStyle w:val="hidePElogoEditoraluseonly"/>
        </w:rPr>
      </w:pPr>
      <w:r w:rsidRPr="007A5E73">
        <w:rPr>
          <w:noProof/>
          <w:vanish/>
          <w:lang w:eastAsia="en-GB"/>
        </w:rPr>
        <w:drawing>
          <wp:inline distT="0" distB="0" distL="0" distR="0" wp14:anchorId="4F8E4DFE" wp14:editId="2152F03A">
            <wp:extent cx="1033145" cy="878840"/>
            <wp:effectExtent l="0" t="0" r="0" b="0"/>
            <wp:docPr id="4" name="Picture 4" descr="Plain English Campaig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Plain English Campaign logo"/>
                    <pic:cNvPicPr>
                      <a:picLocks noChangeAspect="1" noChangeArrowheads="1"/>
                    </pic:cNvPicPr>
                  </pic:nvPicPr>
                  <pic:blipFill>
                    <a:blip r:embed="rId24">
                      <a:extLst>
                        <a:ext uri="{28A0092B-C50C-407E-A947-70E740481C1C}">
                          <a14:useLocalDpi xmlns:a14="http://schemas.microsoft.com/office/drawing/2010/main" val="0"/>
                        </a:ext>
                      </a:extLst>
                    </a:blip>
                    <a:srcRect l="21" r="21"/>
                    <a:stretch>
                      <a:fillRect/>
                    </a:stretch>
                  </pic:blipFill>
                  <pic:spPr bwMode="auto">
                    <a:xfrm>
                      <a:off x="0" y="0"/>
                      <a:ext cx="1033145" cy="878840"/>
                    </a:xfrm>
                    <a:prstGeom prst="rect">
                      <a:avLst/>
                    </a:prstGeom>
                    <a:noFill/>
                    <a:ln>
                      <a:noFill/>
                    </a:ln>
                  </pic:spPr>
                </pic:pic>
              </a:graphicData>
            </a:graphic>
          </wp:inline>
        </w:drawing>
      </w:r>
      <w:r w:rsidRPr="007A5E73">
        <w:rPr>
          <w:rStyle w:val="hidePElogoEditoraluseonly"/>
        </w:rPr>
        <w:t xml:space="preserve"> </w:t>
      </w:r>
      <w:r w:rsidR="00C146BF">
        <w:rPr>
          <w:rStyle w:val="hidePElogoEditoraluseonly"/>
        </w:rPr>
        <w:t xml:space="preserve">  </w:t>
      </w:r>
    </w:p>
    <w:p w14:paraId="30150E4F" w14:textId="77777777" w:rsidR="00292910" w:rsidRPr="007A5E73" w:rsidRDefault="00521F8B" w:rsidP="00CA59CF">
      <w:pPr>
        <w:rPr>
          <w:lang w:val="en-US"/>
        </w:rPr>
        <w:sectPr w:rsidR="00292910" w:rsidRPr="007A5E73" w:rsidSect="00D202E2">
          <w:footerReference w:type="default" r:id="rId25"/>
          <w:footnotePr>
            <w:numFmt w:val="lowerRoman"/>
          </w:footnotePr>
          <w:endnotePr>
            <w:numFmt w:val="decimal"/>
          </w:endnotePr>
          <w:pgSz w:w="11906" w:h="16838"/>
          <w:pgMar w:top="851" w:right="1418" w:bottom="1134" w:left="1418" w:header="680" w:footer="624" w:gutter="0"/>
          <w:pgNumType w:start="1"/>
          <w:cols w:space="708"/>
          <w:docGrid w:linePitch="360"/>
        </w:sectPr>
      </w:pPr>
      <w:hyperlink r:id="rId26" w:history="1">
        <w:r w:rsidR="00CA59CF" w:rsidRPr="007A5E73">
          <w:rPr>
            <w:rStyle w:val="ImprintPHSlinkEditorialuseonly"/>
          </w:rPr>
          <w:t>www.publichealthscotland.scot</w:t>
        </w:r>
      </w:hyperlink>
    </w:p>
    <w:p w14:paraId="32D2A99E" w14:textId="77777777" w:rsidR="00B060A4" w:rsidRPr="000D322E" w:rsidRDefault="0024328C" w:rsidP="00B060A4">
      <w:pPr>
        <w:pStyle w:val="TOCHeading"/>
      </w:pPr>
      <w:r>
        <w:lastRenderedPageBreak/>
        <w:t>Most recent changes</w:t>
      </w:r>
    </w:p>
    <w:tbl>
      <w:tblPr>
        <w:tblStyle w:val="TableGrid"/>
        <w:tblW w:w="9209" w:type="dxa"/>
        <w:tblLayout w:type="fixed"/>
        <w:tblLook w:val="0620" w:firstRow="1" w:lastRow="0" w:firstColumn="0" w:lastColumn="0" w:noHBand="1" w:noVBand="1"/>
      </w:tblPr>
      <w:tblGrid>
        <w:gridCol w:w="1129"/>
        <w:gridCol w:w="2127"/>
        <w:gridCol w:w="5953"/>
      </w:tblGrid>
      <w:tr w:rsidR="00B060A4" w14:paraId="74052EED" w14:textId="77777777" w:rsidTr="00A36B76">
        <w:trPr>
          <w:cnfStyle w:val="100000000000" w:firstRow="1" w:lastRow="0" w:firstColumn="0" w:lastColumn="0" w:oddVBand="0" w:evenVBand="0" w:oddHBand="0" w:evenHBand="0" w:firstRowFirstColumn="0" w:firstRowLastColumn="0" w:lastRowFirstColumn="0" w:lastRowLastColumn="0"/>
          <w:trHeight w:val="397"/>
        </w:trPr>
        <w:tc>
          <w:tcPr>
            <w:tcW w:w="1129" w:type="dxa"/>
          </w:tcPr>
          <w:p w14:paraId="56C1DFB9" w14:textId="77777777" w:rsidR="00B060A4" w:rsidRDefault="00B060A4" w:rsidP="00D202E2">
            <w:pPr>
              <w:pStyle w:val="TableHead"/>
            </w:pPr>
            <w:r>
              <w:t>Version</w:t>
            </w:r>
          </w:p>
        </w:tc>
        <w:tc>
          <w:tcPr>
            <w:tcW w:w="2127" w:type="dxa"/>
          </w:tcPr>
          <w:p w14:paraId="66B0A76D" w14:textId="77777777" w:rsidR="00B060A4" w:rsidRDefault="00B060A4" w:rsidP="00D202E2">
            <w:pPr>
              <w:pStyle w:val="TableHead"/>
            </w:pPr>
            <w:r>
              <w:t>Date</w:t>
            </w:r>
          </w:p>
        </w:tc>
        <w:tc>
          <w:tcPr>
            <w:tcW w:w="5953" w:type="dxa"/>
          </w:tcPr>
          <w:p w14:paraId="2213FE08" w14:textId="77777777" w:rsidR="00B060A4" w:rsidRDefault="00B060A4" w:rsidP="00D202E2">
            <w:pPr>
              <w:pStyle w:val="TableHead"/>
            </w:pPr>
            <w:r>
              <w:t>Summary of changes</w:t>
            </w:r>
          </w:p>
        </w:tc>
      </w:tr>
      <w:tr w:rsidR="00A36B76" w14:paraId="775B28D9" w14:textId="77777777" w:rsidTr="00A36B76">
        <w:tblPrEx>
          <w:tblLook w:val="04A0" w:firstRow="1" w:lastRow="0" w:firstColumn="1" w:lastColumn="0" w:noHBand="0" w:noVBand="1"/>
        </w:tblPrEx>
        <w:trPr>
          <w:trHeight w:val="397"/>
        </w:trPr>
        <w:tc>
          <w:tcPr>
            <w:tcW w:w="1129" w:type="dxa"/>
          </w:tcPr>
          <w:p w14:paraId="5EE4ECC4" w14:textId="783A4233" w:rsidR="00A36B76" w:rsidRPr="00527294" w:rsidRDefault="004E7C26" w:rsidP="00527294">
            <w:pPr>
              <w:pStyle w:val="TableBody"/>
            </w:pPr>
            <w:r w:rsidRPr="00527294">
              <w:t>7</w:t>
            </w:r>
            <w:r w:rsidR="00A36B76" w:rsidRPr="00527294">
              <w:t>.</w:t>
            </w:r>
            <w:r w:rsidR="001900C8">
              <w:t>1</w:t>
            </w:r>
          </w:p>
        </w:tc>
        <w:tc>
          <w:tcPr>
            <w:tcW w:w="2127" w:type="dxa"/>
          </w:tcPr>
          <w:p w14:paraId="0F5BF86B" w14:textId="0C687AB7" w:rsidR="00A36B76" w:rsidRPr="00527294" w:rsidRDefault="006A3179" w:rsidP="00527294">
            <w:pPr>
              <w:pStyle w:val="TableBody"/>
            </w:pPr>
            <w:r>
              <w:t>22</w:t>
            </w:r>
            <w:r w:rsidR="001900C8">
              <w:t xml:space="preserve"> Ju</w:t>
            </w:r>
            <w:r w:rsidR="00E14FA5">
              <w:t>ly</w:t>
            </w:r>
            <w:r w:rsidR="00A36B76" w:rsidRPr="00527294">
              <w:t xml:space="preserve"> 202</w:t>
            </w:r>
            <w:r w:rsidR="009058DB">
              <w:t>4</w:t>
            </w:r>
          </w:p>
        </w:tc>
        <w:tc>
          <w:tcPr>
            <w:tcW w:w="5953" w:type="dxa"/>
          </w:tcPr>
          <w:p w14:paraId="1843AD47" w14:textId="0BAFD228" w:rsidR="00E814AB" w:rsidRPr="00527294" w:rsidRDefault="005A5DE6" w:rsidP="00972EC2">
            <w:pPr>
              <w:pStyle w:val="Tablebullet1"/>
            </w:pPr>
            <w:r>
              <w:t xml:space="preserve">Exclusion criteria and </w:t>
            </w:r>
            <w:r w:rsidR="00E814AB" w:rsidRPr="00527294">
              <w:t xml:space="preserve">Section </w:t>
            </w:r>
            <w:r w:rsidR="00876BBF">
              <w:t>1.4</w:t>
            </w:r>
            <w:r w:rsidR="00E814AB" w:rsidRPr="00527294">
              <w:t xml:space="preserve"> updated </w:t>
            </w:r>
            <w:r w:rsidR="00876BBF">
              <w:t xml:space="preserve">to include </w:t>
            </w:r>
            <w:r w:rsidR="0015102C">
              <w:t>information on use of vaccine in breastfeeding.</w:t>
            </w:r>
          </w:p>
        </w:tc>
      </w:tr>
    </w:tbl>
    <w:p w14:paraId="3CF4A64B" w14:textId="77777777" w:rsidR="00B060A4" w:rsidRDefault="00B060A4" w:rsidP="00B060A4"/>
    <w:p w14:paraId="109C56DA" w14:textId="77777777" w:rsidR="00B060A4" w:rsidRPr="00B060A4" w:rsidRDefault="00B060A4" w:rsidP="00B060A4">
      <w:pPr>
        <w:sectPr w:rsidR="00B060A4" w:rsidRPr="00B060A4" w:rsidSect="00E230B7">
          <w:footerReference w:type="default" r:id="rId27"/>
          <w:footnotePr>
            <w:numFmt w:val="lowerRoman"/>
          </w:footnotePr>
          <w:endnotePr>
            <w:numFmt w:val="decimal"/>
          </w:endnotePr>
          <w:pgSz w:w="11906" w:h="16838"/>
          <w:pgMar w:top="1418" w:right="1418" w:bottom="1531" w:left="1418" w:header="680" w:footer="624" w:gutter="0"/>
          <w:pgNumType w:start="1"/>
          <w:cols w:space="708"/>
          <w:docGrid w:linePitch="360"/>
        </w:sectPr>
      </w:pPr>
    </w:p>
    <w:p w14:paraId="58BCA73C" w14:textId="77777777" w:rsidR="00E10A35" w:rsidRDefault="00E10A35" w:rsidP="00E10A35">
      <w:pPr>
        <w:pStyle w:val="TOCHeading"/>
      </w:pPr>
      <w:r w:rsidRPr="00E10A35">
        <w:lastRenderedPageBreak/>
        <w:t>Contents</w:t>
      </w:r>
    </w:p>
    <w:p w14:paraId="586891EC" w14:textId="761CE798" w:rsidR="007F2AC1" w:rsidRDefault="007F2AC1" w:rsidP="007F2AC1">
      <w:pPr>
        <w:pStyle w:val="TOC1"/>
        <w:rPr>
          <w:lang w:val="en-US"/>
        </w:rPr>
      </w:pPr>
      <w:r>
        <w:rPr>
          <w:lang w:val="en-US"/>
        </w:rPr>
        <w:t xml:space="preserve">Most recent changes </w:t>
      </w:r>
      <w:r>
        <w:rPr>
          <w:lang w:val="en-US"/>
        </w:rPr>
        <w:tab/>
      </w:r>
      <w:r w:rsidR="00A31258">
        <w:rPr>
          <w:lang w:val="en-US"/>
        </w:rPr>
        <w:t>1</w:t>
      </w:r>
    </w:p>
    <w:p w14:paraId="3EB2DE81" w14:textId="2ECC5A0F" w:rsidR="007F2AC1" w:rsidRDefault="007F2AC1" w:rsidP="007F2AC1">
      <w:pPr>
        <w:pStyle w:val="TOC1"/>
        <w:rPr>
          <w:lang w:val="en-US"/>
        </w:rPr>
      </w:pPr>
      <w:r>
        <w:rPr>
          <w:lang w:val="en-US"/>
        </w:rPr>
        <w:t>Authorisation</w:t>
      </w:r>
      <w:r>
        <w:rPr>
          <w:lang w:val="en-US"/>
        </w:rPr>
        <w:tab/>
      </w:r>
      <w:r w:rsidR="00A31258">
        <w:rPr>
          <w:lang w:val="en-US"/>
        </w:rPr>
        <w:t>3</w:t>
      </w:r>
    </w:p>
    <w:p w14:paraId="6F0ED78C" w14:textId="6BFE77CA" w:rsidR="007F2AC1" w:rsidRDefault="007F2AC1" w:rsidP="007F2AC1">
      <w:pPr>
        <w:pStyle w:val="TOC1"/>
        <w:rPr>
          <w:lang w:val="en-US"/>
        </w:rPr>
      </w:pPr>
      <w:r w:rsidRPr="007F2AC1">
        <w:rPr>
          <w:lang w:val="en-US"/>
        </w:rPr>
        <w:t>1.</w:t>
      </w:r>
      <w:r>
        <w:rPr>
          <w:lang w:val="en-US"/>
        </w:rPr>
        <w:t xml:space="preserve"> </w:t>
      </w:r>
      <w:r w:rsidRPr="007F2AC1">
        <w:rPr>
          <w:lang w:val="en-US"/>
        </w:rPr>
        <w:t>Clinical situation</w:t>
      </w:r>
      <w:r>
        <w:rPr>
          <w:lang w:val="en-US"/>
        </w:rPr>
        <w:tab/>
      </w:r>
      <w:r w:rsidR="00A31258">
        <w:rPr>
          <w:lang w:val="en-US"/>
        </w:rPr>
        <w:t>4</w:t>
      </w:r>
    </w:p>
    <w:p w14:paraId="27700A26" w14:textId="5816085C" w:rsidR="007F2AC1" w:rsidRPr="007F2AC1" w:rsidRDefault="007F2AC1" w:rsidP="007F2AC1">
      <w:pPr>
        <w:pStyle w:val="TOC1"/>
        <w:rPr>
          <w:lang w:val="en-US"/>
        </w:rPr>
      </w:pPr>
      <w:r w:rsidRPr="007F2AC1">
        <w:rPr>
          <w:lang w:val="en-US"/>
        </w:rPr>
        <w:t>2. Description of treatment</w:t>
      </w:r>
      <w:r w:rsidRPr="007F2AC1">
        <w:rPr>
          <w:lang w:val="en-US"/>
        </w:rPr>
        <w:tab/>
      </w:r>
      <w:r w:rsidR="00A31258">
        <w:rPr>
          <w:lang w:val="en-US"/>
        </w:rPr>
        <w:t>8</w:t>
      </w:r>
    </w:p>
    <w:p w14:paraId="10422A0D" w14:textId="4B85306E" w:rsidR="007F2AC1" w:rsidRPr="007F2AC1" w:rsidRDefault="007F2AC1" w:rsidP="007F2AC1">
      <w:pPr>
        <w:pStyle w:val="TOC1"/>
        <w:rPr>
          <w:lang w:val="en-US"/>
        </w:rPr>
      </w:pPr>
      <w:r w:rsidRPr="007F2AC1">
        <w:rPr>
          <w:lang w:val="en-US"/>
        </w:rPr>
        <w:t>3. Adverse reactions</w:t>
      </w:r>
      <w:r w:rsidRPr="007F2AC1">
        <w:rPr>
          <w:lang w:val="en-US"/>
        </w:rPr>
        <w:tab/>
      </w:r>
      <w:r w:rsidR="00A31258">
        <w:rPr>
          <w:lang w:val="en-US"/>
        </w:rPr>
        <w:t>12</w:t>
      </w:r>
    </w:p>
    <w:p w14:paraId="5553EAD2" w14:textId="36F8CD9E" w:rsidR="007F2AC1" w:rsidRPr="007F2AC1" w:rsidRDefault="007F2AC1" w:rsidP="007F2AC1">
      <w:pPr>
        <w:pStyle w:val="TOC1"/>
        <w:rPr>
          <w:lang w:val="en-US"/>
        </w:rPr>
      </w:pPr>
      <w:r w:rsidRPr="007F2AC1">
        <w:rPr>
          <w:lang w:val="en-US"/>
        </w:rPr>
        <w:t>4. Characteristics of staff authorised under the PGD</w:t>
      </w:r>
      <w:r w:rsidRPr="007F2AC1">
        <w:rPr>
          <w:lang w:val="en-US"/>
        </w:rPr>
        <w:tab/>
      </w:r>
      <w:r w:rsidR="00A31258">
        <w:rPr>
          <w:lang w:val="en-US"/>
        </w:rPr>
        <w:t>15</w:t>
      </w:r>
    </w:p>
    <w:p w14:paraId="0F6459AD" w14:textId="032DB628" w:rsidR="007F2AC1" w:rsidRPr="007F2AC1" w:rsidRDefault="007F2AC1" w:rsidP="007F2AC1">
      <w:pPr>
        <w:pStyle w:val="TOC1"/>
        <w:rPr>
          <w:lang w:val="en-US"/>
        </w:rPr>
      </w:pPr>
      <w:r w:rsidRPr="007F2AC1">
        <w:rPr>
          <w:lang w:val="en-US"/>
        </w:rPr>
        <w:t>5. Audit trail</w:t>
      </w:r>
      <w:r w:rsidRPr="007F2AC1">
        <w:rPr>
          <w:lang w:val="en-US"/>
        </w:rPr>
        <w:tab/>
      </w:r>
      <w:r w:rsidR="00A31258">
        <w:rPr>
          <w:lang w:val="en-US"/>
        </w:rPr>
        <w:t>17</w:t>
      </w:r>
    </w:p>
    <w:p w14:paraId="17D0FE18" w14:textId="15E637FC" w:rsidR="007F2AC1" w:rsidRPr="007F2AC1" w:rsidRDefault="007F2AC1" w:rsidP="007F2AC1">
      <w:pPr>
        <w:pStyle w:val="TOC1"/>
        <w:rPr>
          <w:lang w:val="en-US"/>
        </w:rPr>
      </w:pPr>
      <w:r w:rsidRPr="007F2AC1">
        <w:rPr>
          <w:lang w:val="en-US"/>
        </w:rPr>
        <w:t>6. Additional references</w:t>
      </w:r>
      <w:r w:rsidRPr="007F2AC1">
        <w:rPr>
          <w:lang w:val="en-US"/>
        </w:rPr>
        <w:tab/>
      </w:r>
      <w:r w:rsidR="00A31258">
        <w:rPr>
          <w:lang w:val="en-US"/>
        </w:rPr>
        <w:t>18</w:t>
      </w:r>
    </w:p>
    <w:p w14:paraId="47B093B1" w14:textId="57E9EADC" w:rsidR="007F2AC1" w:rsidRPr="007F2AC1" w:rsidRDefault="007F2AC1" w:rsidP="007F2AC1">
      <w:pPr>
        <w:pStyle w:val="TOC1"/>
        <w:rPr>
          <w:lang w:val="en-US"/>
        </w:rPr>
      </w:pPr>
      <w:r w:rsidRPr="007F2AC1">
        <w:rPr>
          <w:lang w:val="en-US"/>
        </w:rPr>
        <w:t xml:space="preserve">7. PGD for administration of </w:t>
      </w:r>
      <w:r w:rsidR="00396F37">
        <w:rPr>
          <w:lang w:val="en-US"/>
        </w:rPr>
        <w:t>r</w:t>
      </w:r>
      <w:r w:rsidR="00636104" w:rsidRPr="00636104">
        <w:rPr>
          <w:lang w:val="en-US"/>
        </w:rPr>
        <w:t>otavirus vaccine, Live (Rotarix</w:t>
      </w:r>
      <w:r w:rsidR="00636104" w:rsidRPr="006A3179">
        <w:rPr>
          <w:vertAlign w:val="superscript"/>
          <w:lang w:val="en-US"/>
        </w:rPr>
        <w:t>®</w:t>
      </w:r>
      <w:r w:rsidR="00636104" w:rsidRPr="00636104">
        <w:rPr>
          <w:lang w:val="en-US"/>
        </w:rPr>
        <w:t xml:space="preserve">) Version </w:t>
      </w:r>
      <w:r w:rsidR="004E7C26">
        <w:rPr>
          <w:lang w:val="en-US"/>
        </w:rPr>
        <w:t>7</w:t>
      </w:r>
      <w:r w:rsidR="00636104" w:rsidRPr="00636104">
        <w:rPr>
          <w:lang w:val="en-US"/>
        </w:rPr>
        <w:t>.</w:t>
      </w:r>
      <w:r w:rsidR="001900C8">
        <w:rPr>
          <w:lang w:val="en-US"/>
        </w:rPr>
        <w:t>1</w:t>
      </w:r>
      <w:r w:rsidR="00636104" w:rsidRPr="00636104">
        <w:rPr>
          <w:lang w:val="en-US"/>
        </w:rPr>
        <w:t xml:space="preserve"> (valid from </w:t>
      </w:r>
      <w:r w:rsidR="006A3179">
        <w:rPr>
          <w:lang w:val="en-US"/>
        </w:rPr>
        <w:t>22</w:t>
      </w:r>
      <w:r w:rsidR="001900C8">
        <w:rPr>
          <w:lang w:val="en-US"/>
        </w:rPr>
        <w:t xml:space="preserve"> Ju</w:t>
      </w:r>
      <w:r w:rsidR="00E14FA5">
        <w:rPr>
          <w:lang w:val="en-US"/>
        </w:rPr>
        <w:t>ly</w:t>
      </w:r>
      <w:r w:rsidR="00636104" w:rsidRPr="00636104">
        <w:rPr>
          <w:lang w:val="en-US"/>
        </w:rPr>
        <w:t xml:space="preserve"> 202</w:t>
      </w:r>
      <w:r w:rsidR="001900C8">
        <w:rPr>
          <w:lang w:val="en-US"/>
        </w:rPr>
        <w:t>4</w:t>
      </w:r>
      <w:r w:rsidR="00636104" w:rsidRPr="00636104">
        <w:rPr>
          <w:lang w:val="en-US"/>
        </w:rPr>
        <w:t xml:space="preserve"> and expires </w:t>
      </w:r>
      <w:r w:rsidR="0000140B">
        <w:rPr>
          <w:lang w:val="en-US"/>
        </w:rPr>
        <w:t>28 February</w:t>
      </w:r>
      <w:r w:rsidR="001900C8">
        <w:rPr>
          <w:lang w:val="en-US"/>
        </w:rPr>
        <w:t xml:space="preserve"> 2026</w:t>
      </w:r>
      <w:r w:rsidR="00636104" w:rsidRPr="00636104">
        <w:rPr>
          <w:lang w:val="en-US"/>
        </w:rPr>
        <w:t>):</w:t>
      </w:r>
      <w:r w:rsidR="00636104">
        <w:rPr>
          <w:lang w:val="en-US"/>
        </w:rPr>
        <w:t xml:space="preserve"> authorisation</w:t>
      </w:r>
      <w:r w:rsidRPr="007F2AC1">
        <w:rPr>
          <w:lang w:val="en-US"/>
        </w:rPr>
        <w:tab/>
      </w:r>
      <w:r w:rsidR="00A31258">
        <w:rPr>
          <w:lang w:val="en-US"/>
        </w:rPr>
        <w:t>19</w:t>
      </w:r>
    </w:p>
    <w:p w14:paraId="461E9AE6" w14:textId="7B2111F5" w:rsidR="0066594B" w:rsidRDefault="007F2AC1" w:rsidP="006A3179">
      <w:pPr>
        <w:pStyle w:val="TOC1"/>
        <w:sectPr w:rsidR="0066594B" w:rsidSect="001003B6">
          <w:footerReference w:type="default" r:id="rId28"/>
          <w:footnotePr>
            <w:numFmt w:val="lowerRoman"/>
          </w:footnotePr>
          <w:endnotePr>
            <w:numFmt w:val="decimal"/>
          </w:endnotePr>
          <w:pgSz w:w="11906" w:h="16838"/>
          <w:pgMar w:top="1418" w:right="1418" w:bottom="1531" w:left="1418" w:header="680" w:footer="624" w:gutter="0"/>
          <w:cols w:space="708"/>
          <w:docGrid w:linePitch="360"/>
        </w:sectPr>
      </w:pPr>
      <w:r w:rsidRPr="007F2AC1">
        <w:rPr>
          <w:lang w:val="en-US"/>
        </w:rPr>
        <w:t>8. Version history</w:t>
      </w:r>
      <w:r w:rsidRPr="007F2AC1">
        <w:rPr>
          <w:lang w:val="en-US"/>
        </w:rPr>
        <w:tab/>
      </w:r>
      <w:r w:rsidR="00A31258">
        <w:rPr>
          <w:lang w:val="en-US"/>
        </w:rPr>
        <w:t>21</w:t>
      </w:r>
    </w:p>
    <w:p w14:paraId="1F293F6D" w14:textId="77777777" w:rsidR="007639B5" w:rsidRPr="007639B5" w:rsidRDefault="007639B5" w:rsidP="00487388">
      <w:pPr>
        <w:pStyle w:val="NormalH1"/>
      </w:pPr>
      <w:bookmarkStart w:id="19" w:name="_Toc60298143"/>
      <w:bookmarkStart w:id="20" w:name="_Toc124848775"/>
      <w:bookmarkStart w:id="21" w:name="_Toc57039405"/>
      <w:bookmarkStart w:id="22" w:name="_Toc57039487"/>
      <w:bookmarkStart w:id="23" w:name="_Toc57103215"/>
      <w:bookmarkStart w:id="24" w:name="_Toc57105451"/>
      <w:bookmarkStart w:id="25" w:name="_Hlk125988460"/>
      <w:r w:rsidRPr="00907E64">
        <w:lastRenderedPageBreak/>
        <w:t>Authorisation</w:t>
      </w:r>
      <w:bookmarkEnd w:id="19"/>
      <w:bookmarkEnd w:id="20"/>
    </w:p>
    <w:p w14:paraId="0C72F239" w14:textId="75AA7DFF" w:rsidR="00B12F67" w:rsidRPr="00487388" w:rsidRDefault="007639B5" w:rsidP="00487388">
      <w:pPr>
        <w:pStyle w:val="NormalH2"/>
        <w:rPr>
          <w:rStyle w:val="Bold"/>
          <w:rFonts w:cstheme="minorBidi"/>
          <w:b/>
          <w:color w:val="43358B"/>
        </w:rPr>
      </w:pPr>
      <w:r w:rsidRPr="00487388">
        <w:rPr>
          <w:rStyle w:val="Bold"/>
          <w:rFonts w:cstheme="minorBidi"/>
          <w:b/>
          <w:color w:val="43358B"/>
        </w:rPr>
        <w:t xml:space="preserve">PGD </w:t>
      </w:r>
      <w:bookmarkEnd w:id="21"/>
      <w:bookmarkEnd w:id="22"/>
      <w:bookmarkEnd w:id="23"/>
      <w:bookmarkEnd w:id="24"/>
      <w:r w:rsidR="00487388">
        <w:rPr>
          <w:rStyle w:val="Bold"/>
          <w:rFonts w:cstheme="minorBidi"/>
          <w:b/>
          <w:color w:val="43358B"/>
        </w:rPr>
        <w:t>r</w:t>
      </w:r>
      <w:r w:rsidR="007A6DD8" w:rsidRPr="00487388">
        <w:rPr>
          <w:rStyle w:val="Bold"/>
          <w:rFonts w:cstheme="minorBidi"/>
          <w:b/>
          <w:color w:val="43358B"/>
        </w:rPr>
        <w:t>otavirus vaccine, Live (Rotarix®)</w:t>
      </w:r>
    </w:p>
    <w:p w14:paraId="30C31BF9" w14:textId="28B08611" w:rsidR="00713DB4" w:rsidRPr="00F22B32" w:rsidRDefault="00713DB4" w:rsidP="00713DB4">
      <w:r w:rsidRPr="00F22B32">
        <w:t xml:space="preserve">This specimen Patient Group Direction (PGD) template has been produced by Public Health Scotland to assist NHS </w:t>
      </w:r>
      <w:r w:rsidR="003A3BBB">
        <w:t>B</w:t>
      </w:r>
      <w:r w:rsidRPr="00F22B32">
        <w:t xml:space="preserve">oards. NHS </w:t>
      </w:r>
      <w:r w:rsidR="003A3BBB">
        <w:t>B</w:t>
      </w:r>
      <w:r w:rsidRPr="00F22B32">
        <w:t xml:space="preserve">oards should ensure that the final </w:t>
      </w:r>
      <w:r w:rsidR="00487388">
        <w:br/>
      </w:r>
      <w:r w:rsidRPr="00F22B32">
        <w:t>PGD is considered and approved in line with local clinical governance arrangements for PGDs.</w:t>
      </w:r>
    </w:p>
    <w:bookmarkEnd w:id="25"/>
    <w:p w14:paraId="4814D9D3" w14:textId="2A5A84A4" w:rsidR="001C0BC7" w:rsidRPr="00713DB4" w:rsidRDefault="00713DB4" w:rsidP="00F524B3">
      <w:pPr>
        <w:rPr>
          <w:rStyle w:val="Bold"/>
          <w:rFonts w:cstheme="minorBidi"/>
          <w:b w:val="0"/>
        </w:rPr>
      </w:pPr>
      <w:r w:rsidRPr="00F22B32">
        <w:t xml:space="preserve">The qualified health professionals who may administer </w:t>
      </w:r>
      <w:r w:rsidR="00447258" w:rsidRPr="00AC573F">
        <w:rPr>
          <w:rStyle w:val="showPElogoEditorialuseonly"/>
        </w:rPr>
        <w:t>Rotavirus vaccine, Live (Rotarix</w:t>
      </w:r>
      <w:r w:rsidR="00447258" w:rsidRPr="006A3179">
        <w:rPr>
          <w:rStyle w:val="showPElogoEditorialuseonly"/>
          <w:vertAlign w:val="superscript"/>
        </w:rPr>
        <w:t>®</w:t>
      </w:r>
      <w:r w:rsidR="00447258" w:rsidRPr="00AC573F">
        <w:rPr>
          <w:rStyle w:val="showPElogoEditorialuseonly"/>
        </w:rPr>
        <w:t>)</w:t>
      </w:r>
      <w:r>
        <w:t xml:space="preserve"> </w:t>
      </w:r>
      <w:r w:rsidRPr="00F22B32">
        <w:t>under this PGD can only do so as named individuals.</w:t>
      </w:r>
      <w:r w:rsidRPr="00F22B32">
        <w:rPr>
          <w:bCs/>
        </w:rPr>
        <w:t xml:space="preserve"> It is the responsibility of each professional to practice within the bounds of their own competence and in accordance with their own Code of Professional Conduct and to ensure </w:t>
      </w:r>
      <w:r w:rsidRPr="00F22B32">
        <w:t xml:space="preserve">familiarity with the </w:t>
      </w:r>
      <w:r w:rsidRPr="005069D0">
        <w:t>manufacturer’s product information/</w:t>
      </w:r>
      <w:r w:rsidR="00777478">
        <w:t>S</w:t>
      </w:r>
      <w:r w:rsidRPr="005069D0">
        <w:t xml:space="preserve">ummary of </w:t>
      </w:r>
      <w:r w:rsidR="00777478">
        <w:t>P</w:t>
      </w:r>
      <w:r w:rsidRPr="005069D0">
        <w:t xml:space="preserve">roduct </w:t>
      </w:r>
      <w:r w:rsidR="00777478">
        <w:t>C</w:t>
      </w:r>
      <w:r w:rsidRPr="005069D0">
        <w:t>haracteristics (S</w:t>
      </w:r>
      <w:r w:rsidR="003A3BBB">
        <w:t>m</w:t>
      </w:r>
      <w:r w:rsidRPr="005069D0">
        <w:t xml:space="preserve">PC) </w:t>
      </w:r>
      <w:r w:rsidRPr="00F22B32">
        <w:t>for all vaccines administered in accordance with this PGD.</w:t>
      </w:r>
      <w:r w:rsidR="003C5A06">
        <w:t xml:space="preserve"> </w:t>
      </w:r>
      <w:r w:rsidRPr="00F22B32">
        <w:t xml:space="preserve">NHS </w:t>
      </w:r>
      <w:r w:rsidR="003A3BBB">
        <w:t>B</w:t>
      </w:r>
      <w:r w:rsidRPr="00F22B32">
        <w:t xml:space="preserve">oard governance arrangements will indicate how records of staff authorised to operate this PGD will be maintained. Under PGD legislation there can be no delegation. Administration of the vaccine </w:t>
      </w:r>
      <w:proofErr w:type="gramStart"/>
      <w:r w:rsidRPr="00F22B32">
        <w:t>has to</w:t>
      </w:r>
      <w:proofErr w:type="gramEnd"/>
      <w:r w:rsidRPr="00F22B32">
        <w:t xml:space="preserve"> be by the same practitioner who has assessed the patient under the PGD.</w:t>
      </w:r>
    </w:p>
    <w:p w14:paraId="62F56099" w14:textId="13107E16" w:rsidR="008C552F" w:rsidRPr="007639B5" w:rsidRDefault="008C552F" w:rsidP="008C552F">
      <w:r w:rsidRPr="007639B5">
        <w:t>This PGD has been produced for NHS …………………………………</w:t>
      </w:r>
      <w:r>
        <w:t>.</w:t>
      </w:r>
      <w:r w:rsidR="003C5A06">
        <w:t xml:space="preserve"> </w:t>
      </w:r>
      <w:r w:rsidRPr="007639B5">
        <w:t>by:</w:t>
      </w:r>
    </w:p>
    <w:p w14:paraId="7A87AB77" w14:textId="77777777" w:rsidR="008C552F" w:rsidRPr="007639B5" w:rsidRDefault="008C552F" w:rsidP="008C552F">
      <w:r w:rsidRPr="007639B5">
        <w:t>Doctor</w:t>
      </w:r>
      <w:r>
        <w:t xml:space="preserve"> (Name / Signature)</w:t>
      </w:r>
      <w:r w:rsidRPr="007639B5">
        <w:t>.………………………………………………....</w:t>
      </w:r>
      <w:r>
        <w:t>...............</w:t>
      </w:r>
      <w:r w:rsidRPr="007639B5">
        <w:tab/>
      </w:r>
      <w:r>
        <w:br/>
      </w:r>
      <w:r w:rsidRPr="007639B5">
        <w:t>Pharmacist</w:t>
      </w:r>
      <w:r>
        <w:t xml:space="preserve"> (Name /Signature) </w:t>
      </w:r>
      <w:r w:rsidRPr="007639B5">
        <w:t>……………………………………………</w:t>
      </w:r>
      <w:r>
        <w:t>…………...</w:t>
      </w:r>
      <w:r w:rsidRPr="007639B5">
        <w:tab/>
      </w:r>
      <w:r>
        <w:br/>
      </w:r>
      <w:r w:rsidRPr="007639B5">
        <w:t xml:space="preserve">Nurse </w:t>
      </w:r>
      <w:r>
        <w:t xml:space="preserve">(Name / Signature) </w:t>
      </w:r>
      <w:r w:rsidRPr="007639B5">
        <w:t>……………………………………………………</w:t>
      </w:r>
      <w:r>
        <w:t>…………</w:t>
      </w:r>
      <w:r w:rsidRPr="007639B5">
        <w:tab/>
      </w:r>
    </w:p>
    <w:p w14:paraId="41C9E4EC" w14:textId="77777777" w:rsidR="008C552F" w:rsidRPr="007639B5" w:rsidRDefault="008C552F" w:rsidP="008C552F">
      <w:r w:rsidRPr="007639B5">
        <w:t>Approved on behalf of NHS………………………………………………</w:t>
      </w:r>
      <w:r>
        <w:t xml:space="preserve"> </w:t>
      </w:r>
      <w:r w:rsidRPr="007639B5">
        <w:t>by:</w:t>
      </w:r>
    </w:p>
    <w:p w14:paraId="4F65E0DD" w14:textId="05F27042" w:rsidR="00603B80" w:rsidRDefault="008C552F" w:rsidP="00603B80">
      <w:r w:rsidRPr="007639B5">
        <w:t xml:space="preserve">Medical Director </w:t>
      </w:r>
      <w:r>
        <w:t xml:space="preserve">(Name / Signature) </w:t>
      </w:r>
      <w:r w:rsidRPr="007639B5">
        <w:t>………………………………………</w:t>
      </w:r>
      <w:r>
        <w:t>………</w:t>
      </w:r>
      <w:proofErr w:type="gramStart"/>
      <w:r>
        <w:t>…..</w:t>
      </w:r>
      <w:proofErr w:type="gramEnd"/>
      <w:r>
        <w:tab/>
      </w:r>
      <w:r>
        <w:br/>
      </w:r>
      <w:r w:rsidRPr="007639B5">
        <w:t xml:space="preserve">Director of Pharmacy/Senior Pharmacist </w:t>
      </w:r>
      <w:r>
        <w:t xml:space="preserve">(Name / Signature) </w:t>
      </w:r>
      <w:r w:rsidRPr="007639B5">
        <w:t>……………………</w:t>
      </w:r>
      <w:r>
        <w:t>….</w:t>
      </w:r>
      <w:r>
        <w:br/>
      </w:r>
      <w:r w:rsidRPr="007639B5">
        <w:t>Clinical Governance Lead</w:t>
      </w:r>
      <w:r>
        <w:t xml:space="preserve"> (Name / Signature)</w:t>
      </w:r>
      <w:r w:rsidRPr="007639B5">
        <w:t xml:space="preserve"> …………………………</w:t>
      </w:r>
      <w:r>
        <w:t>……………</w:t>
      </w:r>
      <w:r>
        <w:br/>
      </w:r>
      <w:r w:rsidRPr="007639B5">
        <w:t xml:space="preserve">Date approved: </w:t>
      </w:r>
      <w:r>
        <w:t>………………………………</w:t>
      </w:r>
    </w:p>
    <w:p w14:paraId="7668BF94" w14:textId="00498002" w:rsidR="00603B80" w:rsidRDefault="00603B80" w:rsidP="008C552F">
      <w:r w:rsidRPr="007639B5">
        <w:t xml:space="preserve">Effective from: </w:t>
      </w:r>
      <w:r w:rsidR="006A3179">
        <w:t>22</w:t>
      </w:r>
      <w:r>
        <w:t xml:space="preserve"> </w:t>
      </w:r>
      <w:r w:rsidR="001900C8">
        <w:t>Ju</w:t>
      </w:r>
      <w:r w:rsidR="0000140B">
        <w:t>ly</w:t>
      </w:r>
      <w:r>
        <w:t xml:space="preserve"> 202</w:t>
      </w:r>
      <w:r w:rsidR="001900C8">
        <w:t>4</w:t>
      </w:r>
      <w:r>
        <w:t xml:space="preserve">    </w:t>
      </w:r>
      <w:r>
        <w:tab/>
      </w:r>
      <w:r>
        <w:tab/>
      </w:r>
      <w:r w:rsidR="005626CE">
        <w:tab/>
      </w:r>
      <w:r w:rsidR="000717A6">
        <w:t xml:space="preserve">Expiry </w:t>
      </w:r>
      <w:r w:rsidRPr="007639B5">
        <w:t xml:space="preserve">date: </w:t>
      </w:r>
      <w:r w:rsidR="0000140B">
        <w:t>28 February</w:t>
      </w:r>
      <w:r w:rsidR="001900C8">
        <w:t xml:space="preserve"> </w:t>
      </w:r>
      <w:r>
        <w:t>202</w:t>
      </w:r>
      <w:r w:rsidR="001900C8">
        <w:t>6</w:t>
      </w:r>
    </w:p>
    <w:p w14:paraId="66DDDFF1" w14:textId="77777777" w:rsidR="007639B5" w:rsidRDefault="007F2AC1" w:rsidP="00817A4C">
      <w:pPr>
        <w:pStyle w:val="NormalH1"/>
      </w:pPr>
      <w:bookmarkStart w:id="26" w:name="_Toc60298144"/>
      <w:bookmarkStart w:id="27" w:name="_Toc124848776"/>
      <w:r w:rsidRPr="007F2AC1">
        <w:rPr>
          <w:bCs/>
        </w:rPr>
        <w:lastRenderedPageBreak/>
        <w:t>1.</w:t>
      </w:r>
      <w:r>
        <w:t xml:space="preserve"> </w:t>
      </w:r>
      <w:r w:rsidR="007639B5" w:rsidRPr="007639B5">
        <w:t>Clinical situation</w:t>
      </w:r>
      <w:bookmarkEnd w:id="26"/>
      <w:bookmarkEnd w:id="27"/>
    </w:p>
    <w:p w14:paraId="68E520C0" w14:textId="3B334E50" w:rsidR="007639B5" w:rsidRDefault="007F2AC1" w:rsidP="007F2AC1">
      <w:pPr>
        <w:pStyle w:val="NormalH2"/>
      </w:pPr>
      <w:r>
        <w:t xml:space="preserve">1.1. </w:t>
      </w:r>
      <w:r w:rsidR="007639B5" w:rsidRPr="001E376F">
        <w:t>Indication</w:t>
      </w:r>
    </w:p>
    <w:p w14:paraId="3A5019A5" w14:textId="2B2DFBF4" w:rsidR="00603B80" w:rsidRDefault="00BF16C1" w:rsidP="00022A4B">
      <w:r w:rsidRPr="00BF16C1">
        <w:t>Rotavirus vaccine (live, attenuated) oral suspension (Rotarix</w:t>
      </w:r>
      <w:r w:rsidRPr="006A3179">
        <w:rPr>
          <w:vertAlign w:val="superscript"/>
        </w:rPr>
        <w:t>®</w:t>
      </w:r>
      <w:r w:rsidRPr="00BF16C1">
        <w:t>)</w:t>
      </w:r>
      <w:r>
        <w:t xml:space="preserve"> is indicated </w:t>
      </w:r>
      <w:r w:rsidR="00ED1403">
        <w:t>for a</w:t>
      </w:r>
      <w:r w:rsidR="00022A4B" w:rsidRPr="00BB7E4F">
        <w:t>ctive immunisation</w:t>
      </w:r>
      <w:r w:rsidR="00367510">
        <w:t xml:space="preserve"> for the prevention of </w:t>
      </w:r>
      <w:r w:rsidR="00672F7B">
        <w:t>gastro-enteritis due to</w:t>
      </w:r>
      <w:r w:rsidR="00022A4B" w:rsidRPr="00BB7E4F">
        <w:t xml:space="preserve"> rotavirus </w:t>
      </w:r>
      <w:r w:rsidR="00672F7B">
        <w:t xml:space="preserve">infection </w:t>
      </w:r>
      <w:r w:rsidR="00022A4B" w:rsidRPr="00BB7E4F">
        <w:t xml:space="preserve">in line with Scottish Government </w:t>
      </w:r>
      <w:r w:rsidR="00851E1D">
        <w:t xml:space="preserve">immunisation </w:t>
      </w:r>
      <w:r w:rsidR="00022A4B" w:rsidRPr="00BB7E4F">
        <w:t>programme</w:t>
      </w:r>
      <w:r w:rsidR="00ED1403">
        <w:t xml:space="preserve"> </w:t>
      </w:r>
      <w:r w:rsidR="00ED1403" w:rsidRPr="00ED1403">
        <w:t xml:space="preserve">and JCVI advice/recommendations as set out in </w:t>
      </w:r>
      <w:hyperlink r:id="rId29" w:history="1">
        <w:r w:rsidR="00ED1403" w:rsidRPr="00601DBD">
          <w:rPr>
            <w:rStyle w:val="Hyperlink"/>
          </w:rPr>
          <w:t>Green Book Chapter 2</w:t>
        </w:r>
        <w:r w:rsidR="00601DBD" w:rsidRPr="00601DBD">
          <w:rPr>
            <w:rStyle w:val="Hyperlink"/>
          </w:rPr>
          <w:t>7b</w:t>
        </w:r>
      </w:hyperlink>
      <w:r w:rsidR="00ED1403" w:rsidRPr="00ED1403">
        <w:t xml:space="preserve"> and subsequent correspondence/publications from Scottish Government</w:t>
      </w:r>
    </w:p>
    <w:p w14:paraId="39265DC9" w14:textId="411D11A8" w:rsidR="007F2C05" w:rsidRDefault="007F2AC1" w:rsidP="007F2AC1">
      <w:pPr>
        <w:pStyle w:val="NormalH2"/>
      </w:pPr>
      <w:r>
        <w:t xml:space="preserve">1.2. </w:t>
      </w:r>
      <w:r w:rsidR="007639B5" w:rsidRPr="007639B5">
        <w:t>Inclusion criteria</w:t>
      </w:r>
    </w:p>
    <w:p w14:paraId="105207DE" w14:textId="77777777" w:rsidR="00BD2A71" w:rsidRPr="007F2C05" w:rsidRDefault="00BD2A71" w:rsidP="00BD2A71">
      <w:r w:rsidRPr="007F2C05">
        <w:t>Individuals who:</w:t>
      </w:r>
      <w:r w:rsidRPr="007F2C05">
        <w:tab/>
      </w:r>
    </w:p>
    <w:p w14:paraId="36049209" w14:textId="77777777" w:rsidR="00BD2A71" w:rsidRPr="009603F9" w:rsidRDefault="00BD2A71" w:rsidP="00BD2A71">
      <w:pPr>
        <w:pStyle w:val="Bullet1"/>
      </w:pPr>
      <w:r w:rsidRPr="009603F9">
        <w:t>Are infants from 6 weeks to 24 weeks (i.e. by 23 weeks and 6 days) as part of routine immunisation schedule.</w:t>
      </w:r>
    </w:p>
    <w:p w14:paraId="133B312D" w14:textId="2F01A679" w:rsidR="00022A4B" w:rsidRDefault="00BD2A71" w:rsidP="00BD2A71">
      <w:r w:rsidRPr="00CE6AE0">
        <w:t>Valid consent has been given</w:t>
      </w:r>
      <w:r w:rsidRPr="007F2C05">
        <w:t xml:space="preserve"> to receive the vaccine.</w:t>
      </w:r>
    </w:p>
    <w:p w14:paraId="0FE8C16A" w14:textId="6D5C356A" w:rsidR="007639B5" w:rsidRDefault="007F2AC1" w:rsidP="007F2AC1">
      <w:pPr>
        <w:pStyle w:val="NormalH2"/>
      </w:pPr>
      <w:r>
        <w:t xml:space="preserve">1.3. </w:t>
      </w:r>
      <w:r w:rsidR="007639B5" w:rsidRPr="007639B5">
        <w:t>Exclusion criteria</w:t>
      </w:r>
    </w:p>
    <w:p w14:paraId="55177DA6" w14:textId="77777777" w:rsidR="009606DA" w:rsidRPr="00F00F0D" w:rsidRDefault="009606DA" w:rsidP="009606DA">
      <w:r w:rsidRPr="00412EC2">
        <w:t>Individuals who:</w:t>
      </w:r>
    </w:p>
    <w:p w14:paraId="013C3E6C" w14:textId="76C15E43" w:rsidR="009606DA" w:rsidRPr="00F00F0D" w:rsidRDefault="009606DA" w:rsidP="009606DA">
      <w:pPr>
        <w:pStyle w:val="Bullet1"/>
      </w:pPr>
      <w:r>
        <w:t>H</w:t>
      </w:r>
      <w:r w:rsidRPr="00977F43">
        <w:t xml:space="preserve">ave had a confirmed anaphylactic reaction to a previous dose of </w:t>
      </w:r>
      <w:r w:rsidRPr="008E75E1">
        <w:rPr>
          <w:rStyle w:val="showPElogoEditorialuseonly"/>
        </w:rPr>
        <w:t>rotavirus</w:t>
      </w:r>
      <w:r w:rsidR="003C5A06">
        <w:rPr>
          <w:rStyle w:val="Bold"/>
        </w:rPr>
        <w:t xml:space="preserve"> </w:t>
      </w:r>
      <w:r w:rsidRPr="00F00F0D">
        <w:t>vaccine</w:t>
      </w:r>
      <w:r w:rsidR="00C64E92">
        <w:t xml:space="preserve"> or to </w:t>
      </w:r>
      <w:r w:rsidR="00C64E92" w:rsidRPr="00C64E92">
        <w:t>any component of the vaccine Practitioners must check the marketing authorisation holder’s (SmPC) for details of vaccine components</w:t>
      </w:r>
      <w:r w:rsidR="001046D5">
        <w:t>.</w:t>
      </w:r>
    </w:p>
    <w:p w14:paraId="71B80620" w14:textId="77777777" w:rsidR="009606DA" w:rsidRDefault="009606DA" w:rsidP="009606DA">
      <w:pPr>
        <w:pStyle w:val="Bullet1"/>
      </w:pPr>
      <w:r>
        <w:t>Have had a previous history of intussusception.</w:t>
      </w:r>
    </w:p>
    <w:p w14:paraId="598C4C40" w14:textId="0A5F1A17" w:rsidR="00E56193" w:rsidRDefault="00E56193" w:rsidP="009606DA">
      <w:pPr>
        <w:pStyle w:val="Bullet1"/>
      </w:pPr>
      <w:r>
        <w:t>Are under six weeks of age.</w:t>
      </w:r>
    </w:p>
    <w:p w14:paraId="3BCFE8BF" w14:textId="77777777" w:rsidR="009606DA" w:rsidRDefault="009606DA" w:rsidP="009606DA">
      <w:pPr>
        <w:pStyle w:val="Bullet1"/>
      </w:pPr>
      <w:r>
        <w:t>Are i</w:t>
      </w:r>
      <w:r w:rsidRPr="008E75E1">
        <w:t>nfants who have not received their first dose before 15 weeks of age (i.e. older than 14 weeks and 6 days).</w:t>
      </w:r>
    </w:p>
    <w:p w14:paraId="3220A940" w14:textId="77777777" w:rsidR="009606DA" w:rsidRDefault="009606DA" w:rsidP="009606DA">
      <w:pPr>
        <w:pStyle w:val="Bullet1"/>
      </w:pPr>
      <w:r>
        <w:t>Are o</w:t>
      </w:r>
      <w:r w:rsidRPr="008E75E1">
        <w:t>ver 24 weeks of age (i.e. older than 23 weeks and 6 days).</w:t>
      </w:r>
    </w:p>
    <w:p w14:paraId="2A09C921" w14:textId="77777777" w:rsidR="009606DA" w:rsidRDefault="009606DA" w:rsidP="009606DA">
      <w:pPr>
        <w:pStyle w:val="Bullet1"/>
      </w:pPr>
      <w:r>
        <w:lastRenderedPageBreak/>
        <w:t xml:space="preserve">Have had a </w:t>
      </w:r>
      <w:r w:rsidRPr="008E75E1">
        <w:t>severe combined immunodeficiency disorder (SCID)</w:t>
      </w:r>
      <w:r>
        <w:t>.</w:t>
      </w:r>
    </w:p>
    <w:p w14:paraId="784B505B" w14:textId="77777777" w:rsidR="00505C16" w:rsidRDefault="00505C16" w:rsidP="00505C16">
      <w:pPr>
        <w:pStyle w:val="Bullet1"/>
      </w:pPr>
      <w:r>
        <w:t>Have had</w:t>
      </w:r>
      <w:r w:rsidRPr="0047246D">
        <w:t xml:space="preserve"> a malformation of the gastrointestinal tract that</w:t>
      </w:r>
      <w:r w:rsidRPr="008E75E1">
        <w:t xml:space="preserve"> could predispose them to intussusception.</w:t>
      </w:r>
    </w:p>
    <w:p w14:paraId="7C56B0B6" w14:textId="77777777" w:rsidR="00505C16" w:rsidRPr="007013D1" w:rsidRDefault="00505C16" w:rsidP="00505C16">
      <w:pPr>
        <w:pStyle w:val="Bullet1"/>
      </w:pPr>
      <w:r>
        <w:t>Are k</w:t>
      </w:r>
      <w:r w:rsidRPr="0047246D">
        <w:t>nown to have rare hereditary problems of fructose intolerance,</w:t>
      </w:r>
      <w:r w:rsidRPr="007013D1">
        <w:t xml:space="preserve"> glucose-galactose malabsorption or sucrase-</w:t>
      </w:r>
      <w:proofErr w:type="spellStart"/>
      <w:r w:rsidRPr="007013D1">
        <w:t>isomaltase</w:t>
      </w:r>
      <w:proofErr w:type="spellEnd"/>
      <w:r w:rsidRPr="007013D1">
        <w:t xml:space="preserve"> insufficiency.</w:t>
      </w:r>
    </w:p>
    <w:p w14:paraId="24C6277C" w14:textId="77777777" w:rsidR="00505C16" w:rsidRDefault="00505C16" w:rsidP="00505C16">
      <w:pPr>
        <w:pStyle w:val="Bullet1"/>
      </w:pPr>
      <w:r>
        <w:t>W</w:t>
      </w:r>
      <w:r w:rsidRPr="0047246D">
        <w:t>hose mothers have received immunomodulating biologics</w:t>
      </w:r>
      <w:r w:rsidRPr="007013D1">
        <w:t xml:space="preserve"> (such as monoclonal antibodies or receptor antagonists which interfere with the immune system e.g. anti-TNF agents) in pregnancy.</w:t>
      </w:r>
    </w:p>
    <w:p w14:paraId="34A02A34" w14:textId="1713F958" w:rsidR="00FC48E5" w:rsidRPr="007013D1" w:rsidRDefault="00FC48E5" w:rsidP="00505C16">
      <w:pPr>
        <w:pStyle w:val="Bullet1"/>
      </w:pPr>
      <w:r>
        <w:t>B</w:t>
      </w:r>
      <w:r w:rsidRPr="007C3589">
        <w:t xml:space="preserve">reastfeeding infants whose mothers are using biological medicines such </w:t>
      </w:r>
      <w:r w:rsidR="00487388">
        <w:br/>
      </w:r>
      <w:r w:rsidRPr="007C3589">
        <w:t xml:space="preserve">as </w:t>
      </w:r>
      <w:r>
        <w:t>i</w:t>
      </w:r>
      <w:r w:rsidRPr="007C3589">
        <w:t>nfliximab</w:t>
      </w:r>
    </w:p>
    <w:p w14:paraId="60E59324" w14:textId="77777777" w:rsidR="00505C16" w:rsidRDefault="00505C16" w:rsidP="00505C16">
      <w:pPr>
        <w:pStyle w:val="Bullet1"/>
      </w:pPr>
      <w:r>
        <w:t xml:space="preserve">Are known to have immunosuppression </w:t>
      </w:r>
      <w:r w:rsidRPr="007013D1">
        <w:t>or those on systemic (oral or injectable) immunosuppressive treatment.</w:t>
      </w:r>
    </w:p>
    <w:p w14:paraId="37FC8C27" w14:textId="4A8E5F34" w:rsidR="00AB20F1" w:rsidRPr="007013D1" w:rsidRDefault="00AB20F1" w:rsidP="00AB20F1">
      <w:pPr>
        <w:pStyle w:val="Bullet1"/>
      </w:pPr>
      <w:r w:rsidRPr="00AB20F1">
        <w:t>Are suffering from acute severe febrile illness (the presence of a minor infection is not a contraindication for immunisation).</w:t>
      </w:r>
    </w:p>
    <w:p w14:paraId="057A0BF6" w14:textId="21958D0C" w:rsidR="00BD2A71" w:rsidRDefault="00505C16" w:rsidP="007F2AC1">
      <w:pPr>
        <w:pStyle w:val="Bullet1"/>
      </w:pPr>
      <w:r>
        <w:t>Have had a</w:t>
      </w:r>
      <w:r w:rsidRPr="0047246D">
        <w:t xml:space="preserve">cute diarrhoea or vomiting </w:t>
      </w:r>
      <w:r w:rsidR="00C27911">
        <w:t>–</w:t>
      </w:r>
      <w:r w:rsidRPr="0047246D">
        <w:t xml:space="preserve"> postpone immunisation until patient</w:t>
      </w:r>
      <w:r w:rsidRPr="007013D1">
        <w:t xml:space="preserve"> has fully recovered.</w:t>
      </w:r>
    </w:p>
    <w:p w14:paraId="6F50A75E" w14:textId="74515D29" w:rsidR="000E598D" w:rsidRDefault="007F2AC1" w:rsidP="007F2AC1">
      <w:pPr>
        <w:pStyle w:val="NormalH2"/>
      </w:pPr>
      <w:r>
        <w:t xml:space="preserve">1.4. </w:t>
      </w:r>
      <w:r w:rsidR="007639B5" w:rsidRPr="007639B5">
        <w:t xml:space="preserve">Cautions/need for further advice/circumstances when </w:t>
      </w:r>
      <w:r w:rsidR="009D3EC8">
        <w:t>further advice should be sought from a doctor</w:t>
      </w:r>
    </w:p>
    <w:p w14:paraId="42C10FAC" w14:textId="77777777" w:rsidR="00E86340" w:rsidRPr="000A3785" w:rsidRDefault="00E86340" w:rsidP="00E86340">
      <w:r>
        <w:t>The</w:t>
      </w:r>
      <w:r w:rsidRPr="000A3785">
        <w:t xml:space="preserve"> Green Book advises that there are very few individuals who cannot receive </w:t>
      </w:r>
      <w:r>
        <w:t xml:space="preserve">rotavirus </w:t>
      </w:r>
      <w:r w:rsidRPr="000A3785">
        <w:t>vaccine. Where there is doubt, rather than withholding vaccination, appropriate advice should be sought from the relevant specialist, or from the local immunisation or health protection team.</w:t>
      </w:r>
    </w:p>
    <w:p w14:paraId="26F6636B" w14:textId="77777777" w:rsidR="009B0D90" w:rsidRDefault="00E86340">
      <w:r>
        <w:t xml:space="preserve">The presence of a neurological condition is not a contraindication to immunisation but if there is evidence of current neurological deterioration, deferral of vaccination may be considered, to avoid incorrect attribution of any change in the underlying condition. The risk of such deferral should be balanced against the risk of the </w:t>
      </w:r>
      <w:r>
        <w:lastRenderedPageBreak/>
        <w:t>preventable infection, and vaccination should be promptly given once the diagnosis and/or the expected course of the condition becomes clear.</w:t>
      </w:r>
    </w:p>
    <w:p w14:paraId="5550B5F8" w14:textId="77777777" w:rsidR="009B0D90" w:rsidRPr="00487388" w:rsidRDefault="009B0D90" w:rsidP="00487388">
      <w:pPr>
        <w:pStyle w:val="NormalH3"/>
      </w:pPr>
      <w:bookmarkStart w:id="28" w:name="_Hlk167345022"/>
      <w:r w:rsidRPr="00487388">
        <w:rPr>
          <w:rStyle w:val="Bold"/>
          <w:rFonts w:cstheme="minorBidi"/>
          <w:b/>
        </w:rPr>
        <w:t>Co-administration of other vaccines</w:t>
      </w:r>
    </w:p>
    <w:p w14:paraId="1461CA7B" w14:textId="002996C4" w:rsidR="009B0D90" w:rsidRDefault="00F27BB8" w:rsidP="009B0D90">
      <w:r w:rsidRPr="009456E2">
        <w:t>Rotarix® can be given at the same time as the other vaccines administered as part of the childhood immunisation programme including BCG.</w:t>
      </w:r>
      <w:r w:rsidR="003C5A06">
        <w:t xml:space="preserve"> </w:t>
      </w:r>
      <w:r w:rsidRPr="009456E2">
        <w:t>Rotarix</w:t>
      </w:r>
      <w:r w:rsidRPr="006A3179">
        <w:rPr>
          <w:vertAlign w:val="superscript"/>
        </w:rPr>
        <w:t>®</w:t>
      </w:r>
      <w:r w:rsidRPr="009456E2">
        <w:t xml:space="preserve"> and BCG can be given at any time before or after each other</w:t>
      </w:r>
      <w:r w:rsidR="009B0D90" w:rsidRPr="009456E2">
        <w:t>.</w:t>
      </w:r>
    </w:p>
    <w:bookmarkEnd w:id="28"/>
    <w:p w14:paraId="4BC36471" w14:textId="009B386F" w:rsidR="00F27BB8" w:rsidRPr="00487388" w:rsidRDefault="00F27BB8" w:rsidP="00487388">
      <w:pPr>
        <w:pStyle w:val="NormalH3"/>
        <w:rPr>
          <w:rStyle w:val="Bold"/>
          <w:rFonts w:cstheme="minorBidi"/>
          <w:b/>
        </w:rPr>
      </w:pPr>
      <w:r w:rsidRPr="00487388">
        <w:rPr>
          <w:rStyle w:val="Bold"/>
          <w:rFonts w:cstheme="minorBidi"/>
          <w:b/>
        </w:rPr>
        <w:t>Breastfeeding</w:t>
      </w:r>
    </w:p>
    <w:p w14:paraId="3B9ABF35" w14:textId="1518B6D2" w:rsidR="00E66318" w:rsidRDefault="00E66318" w:rsidP="00E66318">
      <w:r w:rsidRPr="00E66318">
        <w:t>There are no restrictions on the infant’s feeding, including breastfeeding, before or after immunisation.</w:t>
      </w:r>
    </w:p>
    <w:p w14:paraId="05B8DA6A" w14:textId="30903272" w:rsidR="007C3589" w:rsidRDefault="00FC48E5" w:rsidP="007C3589">
      <w:r w:rsidRPr="009456E2">
        <w:t xml:space="preserve">Further advice on administering rotavirus vaccine to breastfed infants whose mothers are receiving immunosuppressive therapy can be found in the </w:t>
      </w:r>
      <w:hyperlink r:id="rId30" w:history="1">
        <w:r w:rsidRPr="009456E2">
          <w:rPr>
            <w:rStyle w:val="Hyperlink"/>
          </w:rPr>
          <w:t>UKHSA information for healthcare professionals</w:t>
        </w:r>
      </w:hyperlink>
      <w:r w:rsidR="005A5DE6" w:rsidRPr="009456E2">
        <w:rPr>
          <w:rStyle w:val="Hyperlink"/>
        </w:rPr>
        <w:t>.</w:t>
      </w:r>
      <w:r>
        <w:t xml:space="preserve"> </w:t>
      </w:r>
    </w:p>
    <w:p w14:paraId="619DD621" w14:textId="0810C095" w:rsidR="007639B5" w:rsidRDefault="00817A4C" w:rsidP="007C3589">
      <w:pPr>
        <w:pStyle w:val="NormalH2"/>
      </w:pPr>
      <w:r>
        <w:t xml:space="preserve">1.5 </w:t>
      </w:r>
      <w:r w:rsidR="007639B5" w:rsidRPr="007639B5">
        <w:t>Action if excluded</w:t>
      </w:r>
    </w:p>
    <w:p w14:paraId="2B8AA93E" w14:textId="77777777" w:rsidR="002F1A5C" w:rsidRPr="000A3785" w:rsidRDefault="002F1A5C" w:rsidP="002F1A5C">
      <w:r>
        <w:t>Specialist advice must be sought on the vaccine and circumstances under which it could be given</w:t>
      </w:r>
      <w:r w:rsidRPr="000A3785">
        <w:t xml:space="preserve">. Immunisation using a patient specific direction may be indicated. The risk to the individual of not being immunised must be </w:t>
      </w:r>
      <w:proofErr w:type="gramStart"/>
      <w:r w:rsidRPr="000A3785">
        <w:t>taken into account</w:t>
      </w:r>
      <w:proofErr w:type="gramEnd"/>
      <w:r w:rsidRPr="000A3785">
        <w:t>.</w:t>
      </w:r>
    </w:p>
    <w:p w14:paraId="018B8805" w14:textId="0F53798E" w:rsidR="002F1A5C" w:rsidRPr="000A3785" w:rsidRDefault="002F1A5C" w:rsidP="002F1A5C">
      <w:r>
        <w:t xml:space="preserve">Document the reason for exclusion and any action taken in accordance with </w:t>
      </w:r>
      <w:r w:rsidR="00487388">
        <w:br/>
      </w:r>
      <w:r>
        <w:t>local procedures.</w:t>
      </w:r>
    </w:p>
    <w:p w14:paraId="60EDC8C8" w14:textId="77777777" w:rsidR="002F1A5C" w:rsidRPr="000A3785" w:rsidRDefault="002F1A5C" w:rsidP="002F1A5C">
      <w:r>
        <w:t>Inform or refer to the clinician in charge.</w:t>
      </w:r>
    </w:p>
    <w:p w14:paraId="1D3C9DDD" w14:textId="2DF34445" w:rsidR="002F1A5C" w:rsidRPr="00C745AF" w:rsidRDefault="002F1A5C" w:rsidP="002F1A5C">
      <w:r w:rsidRPr="00C745AF">
        <w:t>Infants with immunosuppression (other than SCID): there are limited data on the safety and efficacy of Rotarix</w:t>
      </w:r>
      <w:r w:rsidRPr="006A3179">
        <w:rPr>
          <w:vertAlign w:val="superscript"/>
        </w:rPr>
        <w:t>®</w:t>
      </w:r>
      <w:r w:rsidR="00820800">
        <w:t>.</w:t>
      </w:r>
      <w:r w:rsidRPr="00C745AF">
        <w:t xml:space="preserve"> In such cases the</w:t>
      </w:r>
      <w:r w:rsidR="00F14B2A" w:rsidRPr="00F14B2A">
        <w:t xml:space="preserve"> local immunisation or health protection team</w:t>
      </w:r>
      <w:r w:rsidR="00A017DB">
        <w:t xml:space="preserve"> </w:t>
      </w:r>
      <w:r w:rsidR="00A017DB" w:rsidRPr="00A017DB">
        <w:t xml:space="preserve">in collaboration </w:t>
      </w:r>
      <w:r w:rsidR="00A017DB">
        <w:t xml:space="preserve">with the </w:t>
      </w:r>
      <w:r w:rsidRPr="00C745AF">
        <w:t xml:space="preserve">infant’s GP </w:t>
      </w:r>
      <w:r w:rsidR="00A017DB">
        <w:t>and</w:t>
      </w:r>
      <w:r w:rsidR="004A357B">
        <w:t>/or</w:t>
      </w:r>
      <w:r w:rsidR="00A017DB" w:rsidRPr="00C745AF">
        <w:t xml:space="preserve"> </w:t>
      </w:r>
      <w:r w:rsidRPr="00C745AF">
        <w:t>the clinician dealing with the child’s underlying condition should assess the infant and consider vaccination.</w:t>
      </w:r>
      <w:r w:rsidR="0047077B">
        <w:t xml:space="preserve"> If vaccination is to proceed this may be administered </w:t>
      </w:r>
      <w:r w:rsidR="00CC65CD">
        <w:t>by a prescriber or under a patient specific direction.</w:t>
      </w:r>
    </w:p>
    <w:p w14:paraId="3980FA3B" w14:textId="77777777" w:rsidR="002F1A5C" w:rsidRDefault="002F1A5C" w:rsidP="002F1A5C">
      <w:r w:rsidRPr="00C745AF">
        <w:lastRenderedPageBreak/>
        <w:t xml:space="preserve">If aged less than 6 weeks advise to return for routine immunisation when the child is eight weeks of age or over and give an appropriate appointment. Immunisation can be administered from six weeks of age if required e.g. if travelling to an endemic country or given early with the first dose of the </w:t>
      </w:r>
      <w:r>
        <w:t>h</w:t>
      </w:r>
      <w:r w:rsidRPr="00C745AF">
        <w:t>exavalent vaccine to provide protection against hepatitis B infection.</w:t>
      </w:r>
    </w:p>
    <w:p w14:paraId="240C8632" w14:textId="77777777" w:rsidR="002F1A5C" w:rsidRPr="00B377AB" w:rsidRDefault="002F1A5C" w:rsidP="00B377AB">
      <w:pPr>
        <w:pStyle w:val="NormalH3"/>
      </w:pPr>
      <w:r w:rsidRPr="00B377AB">
        <w:rPr>
          <w:rStyle w:val="Bold"/>
          <w:rFonts w:cstheme="minorBidi"/>
          <w:b/>
        </w:rPr>
        <w:t>Temporary exclusion</w:t>
      </w:r>
    </w:p>
    <w:p w14:paraId="739CE578" w14:textId="5727652F" w:rsidR="007269BA" w:rsidRDefault="002F1A5C" w:rsidP="002F1A5C">
      <w:r w:rsidRPr="00C745AF">
        <w:t xml:space="preserve">In case of postponement due to acute severe febrile illness, </w:t>
      </w:r>
      <w:r>
        <w:t xml:space="preserve">acute diarrhoea or vomiting, </w:t>
      </w:r>
      <w:r w:rsidRPr="00C745AF">
        <w:t>arrange a future date for immunisation.</w:t>
      </w:r>
    </w:p>
    <w:p w14:paraId="2C0930C4" w14:textId="77777777" w:rsidR="007639B5" w:rsidRDefault="007F2AC1" w:rsidP="007F2AC1">
      <w:pPr>
        <w:pStyle w:val="NormalH2"/>
      </w:pPr>
      <w:r>
        <w:t xml:space="preserve">1.6. </w:t>
      </w:r>
      <w:r w:rsidR="007639B5" w:rsidRPr="007639B5">
        <w:t>Action if patient declines</w:t>
      </w:r>
    </w:p>
    <w:p w14:paraId="77A0A42B" w14:textId="77777777" w:rsidR="00817A4C" w:rsidRPr="001712F3" w:rsidRDefault="00817A4C" w:rsidP="00817A4C">
      <w:r w:rsidRPr="001712F3">
        <w:t xml:space="preserve">Advise the individual about the protective effects of the vaccine, the risks of infection and potential complications of disease. </w:t>
      </w:r>
    </w:p>
    <w:p w14:paraId="68C70512" w14:textId="77777777" w:rsidR="00817A4C" w:rsidRPr="001712F3" w:rsidRDefault="00817A4C" w:rsidP="00817A4C">
      <w:r w:rsidRPr="001712F3">
        <w:t>Advise how future immunisation may be accessed if they subsequently decide to receive the vaccine.</w:t>
      </w:r>
    </w:p>
    <w:p w14:paraId="361A82B1" w14:textId="77777777" w:rsidR="00817A4C" w:rsidRPr="001712F3" w:rsidRDefault="00817A4C" w:rsidP="00817A4C">
      <w:r w:rsidRPr="001712F3">
        <w:t xml:space="preserve">Document advice given and decision reached. </w:t>
      </w:r>
    </w:p>
    <w:p w14:paraId="3214A382" w14:textId="77777777" w:rsidR="00090215" w:rsidRPr="007F2AC1" w:rsidRDefault="00817A4C">
      <w:r w:rsidRPr="001712F3">
        <w:t>Inform or refer to the clinician in charge.</w:t>
      </w:r>
      <w:r w:rsidR="00090215">
        <w:br w:type="page"/>
      </w:r>
    </w:p>
    <w:p w14:paraId="5CD17895" w14:textId="77777777" w:rsidR="007639B5" w:rsidRDefault="007F2AC1" w:rsidP="007F2AC1">
      <w:pPr>
        <w:pStyle w:val="NormalH1"/>
      </w:pPr>
      <w:bookmarkStart w:id="29" w:name="_Toc124848777"/>
      <w:r>
        <w:lastRenderedPageBreak/>
        <w:t xml:space="preserve">2. </w:t>
      </w:r>
      <w:r w:rsidR="007639B5" w:rsidRPr="00817C6A">
        <w:t>Description</w:t>
      </w:r>
      <w:r w:rsidR="007639B5" w:rsidRPr="007639B5">
        <w:t xml:space="preserve"> of treatment</w:t>
      </w:r>
      <w:bookmarkEnd w:id="29"/>
    </w:p>
    <w:p w14:paraId="6B0BDB78" w14:textId="40E16802" w:rsidR="002A3357" w:rsidRDefault="003431FF" w:rsidP="007F2AC1">
      <w:pPr>
        <w:pStyle w:val="NormalH2"/>
      </w:pPr>
      <w:r>
        <w:t xml:space="preserve">2.1. </w:t>
      </w:r>
      <w:r w:rsidR="002A3357" w:rsidRPr="002A3357">
        <w:t>Name of medicine/form/strength</w:t>
      </w:r>
    </w:p>
    <w:p w14:paraId="57414BF9" w14:textId="77777777" w:rsidR="00690D1D" w:rsidRDefault="00690D1D" w:rsidP="00690D1D">
      <w:r w:rsidRPr="003E7538">
        <w:t>Rotavirus vaccine (live, attenuated) oral suspension (Rotarix</w:t>
      </w:r>
      <w:r w:rsidRPr="006A3179">
        <w:rPr>
          <w:vertAlign w:val="superscript"/>
        </w:rPr>
        <w:t>®</w:t>
      </w:r>
      <w:r w:rsidRPr="003E7538">
        <w:t>)</w:t>
      </w:r>
      <w:r>
        <w:t>.</w:t>
      </w:r>
    </w:p>
    <w:p w14:paraId="7F0C78CD" w14:textId="77777777" w:rsidR="00690D1D" w:rsidRPr="00752C1A" w:rsidRDefault="00690D1D" w:rsidP="00690D1D">
      <w:pPr>
        <w:pStyle w:val="Bullet1"/>
      </w:pPr>
      <w:r w:rsidRPr="00752C1A">
        <w:t>Rotarix</w:t>
      </w:r>
      <w:r w:rsidRPr="006A3179">
        <w:rPr>
          <w:vertAlign w:val="superscript"/>
        </w:rPr>
        <w:t>®</w:t>
      </w:r>
      <w:r w:rsidRPr="00752C1A">
        <w:t xml:space="preserve"> oral suspension (1.5 ml) in pre-filled oral applicator. </w:t>
      </w:r>
    </w:p>
    <w:p w14:paraId="1C835F83" w14:textId="77777777" w:rsidR="00690D1D" w:rsidRPr="00752C1A" w:rsidRDefault="00690D1D" w:rsidP="00690D1D">
      <w:pPr>
        <w:pStyle w:val="Bullet1"/>
      </w:pPr>
      <w:r w:rsidRPr="00752C1A">
        <w:t>Rotarix</w:t>
      </w:r>
      <w:r w:rsidRPr="006A3179">
        <w:rPr>
          <w:vertAlign w:val="superscript"/>
        </w:rPr>
        <w:t>®</w:t>
      </w:r>
      <w:r w:rsidRPr="00752C1A">
        <w:t xml:space="preserve"> oral suspension (1.5 ml) in a squeezable tube.</w:t>
      </w:r>
    </w:p>
    <w:p w14:paraId="76F3F4FC" w14:textId="77777777" w:rsidR="00690D1D" w:rsidRPr="003E7538" w:rsidRDefault="00690D1D" w:rsidP="00690D1D">
      <w:pPr>
        <w:pStyle w:val="Bullet1"/>
      </w:pPr>
      <w:r w:rsidRPr="00752C1A">
        <w:t>Rotarix</w:t>
      </w:r>
      <w:r w:rsidRPr="006A3179">
        <w:rPr>
          <w:vertAlign w:val="superscript"/>
        </w:rPr>
        <w:t xml:space="preserve">® </w:t>
      </w:r>
      <w:r w:rsidRPr="00752C1A">
        <w:t>oral suspension (1.5ml) in multi-</w:t>
      </w:r>
      <w:proofErr w:type="spellStart"/>
      <w:r w:rsidRPr="00752C1A">
        <w:t>monodose</w:t>
      </w:r>
      <w:proofErr w:type="spellEnd"/>
      <w:r w:rsidRPr="00752C1A">
        <w:t xml:space="preserve"> (5 single dose)</w:t>
      </w:r>
      <w:r w:rsidRPr="003E7538">
        <w:t xml:space="preserve"> squeezable tube presentation connected by a bar</w:t>
      </w:r>
      <w:r>
        <w:t>.</w:t>
      </w:r>
    </w:p>
    <w:p w14:paraId="225FFB88" w14:textId="0293E82E" w:rsidR="00690D1D" w:rsidRDefault="00690D1D" w:rsidP="00690D1D">
      <w:r w:rsidRPr="003E7538">
        <w:t>Rotarix</w:t>
      </w:r>
      <w:r w:rsidRPr="006A3179">
        <w:rPr>
          <w:vertAlign w:val="superscript"/>
        </w:rPr>
        <w:t>®</w:t>
      </w:r>
      <w:r w:rsidRPr="003E7538">
        <w:t xml:space="preserve"> is not known to be interchangeable with other rotavirus vaccines. However, Rotarix</w:t>
      </w:r>
      <w:r w:rsidRPr="006A3179">
        <w:rPr>
          <w:vertAlign w:val="superscript"/>
        </w:rPr>
        <w:t xml:space="preserve">® </w:t>
      </w:r>
      <w:r w:rsidRPr="003E7538">
        <w:t>tube and oral applicator (oral syringe) presentations may be used interchangeably.</w:t>
      </w:r>
    </w:p>
    <w:p w14:paraId="40EF87A6" w14:textId="46CCC4B9" w:rsidR="002A3357" w:rsidRDefault="003431FF" w:rsidP="007F2AC1">
      <w:pPr>
        <w:pStyle w:val="NormalH2"/>
      </w:pPr>
      <w:bookmarkStart w:id="30" w:name="_Toc57039419"/>
      <w:r>
        <w:t xml:space="preserve">2.2. </w:t>
      </w:r>
      <w:r w:rsidR="002A3357" w:rsidRPr="002A3357">
        <w:t>Route of administration</w:t>
      </w:r>
      <w:bookmarkEnd w:id="30"/>
    </w:p>
    <w:p w14:paraId="0711CF31" w14:textId="77777777" w:rsidR="00B104B6" w:rsidRPr="003E7538" w:rsidRDefault="00B104B6" w:rsidP="00B104B6">
      <w:r w:rsidRPr="003E7538">
        <w:t>Oral use only.</w:t>
      </w:r>
    </w:p>
    <w:p w14:paraId="51463A9B" w14:textId="77777777" w:rsidR="00B104B6" w:rsidRDefault="00B104B6" w:rsidP="00B104B6">
      <w:r w:rsidRPr="003E7538">
        <w:t>Rotarix</w:t>
      </w:r>
      <w:r w:rsidRPr="006A3179">
        <w:rPr>
          <w:vertAlign w:val="superscript"/>
        </w:rPr>
        <w:t>®</w:t>
      </w:r>
      <w:r w:rsidRPr="003E7538">
        <w:t xml:space="preserve"> must not be injected</w:t>
      </w:r>
      <w:r>
        <w:t>.</w:t>
      </w:r>
    </w:p>
    <w:p w14:paraId="38A3C71F" w14:textId="4B8696D9" w:rsidR="00B104B6" w:rsidRDefault="00B104B6" w:rsidP="00B104B6">
      <w:r w:rsidRPr="003E7538">
        <w:t>The vaccine should be visually inspected for particulate matter and discoloration prior to administration. In the event of any foreign particulate matter and/or variation of physical aspect being observed, do not administer the vaccine.</w:t>
      </w:r>
    </w:p>
    <w:p w14:paraId="4033CB4A" w14:textId="0555E1C5" w:rsidR="002A3357" w:rsidRDefault="003431FF" w:rsidP="007F2AC1">
      <w:pPr>
        <w:pStyle w:val="NormalH2"/>
      </w:pPr>
      <w:bookmarkStart w:id="31" w:name="_Toc57039420"/>
      <w:r>
        <w:t xml:space="preserve">2.3. </w:t>
      </w:r>
      <w:r w:rsidR="002A3357" w:rsidRPr="002A3357">
        <w:t>Dosage</w:t>
      </w:r>
      <w:bookmarkEnd w:id="31"/>
    </w:p>
    <w:p w14:paraId="4AC2FB5D" w14:textId="67EF5108" w:rsidR="00A31258" w:rsidRDefault="007E4F2C" w:rsidP="007E4F2C">
      <w:r>
        <w:t>1.5ml</w:t>
      </w:r>
    </w:p>
    <w:p w14:paraId="630489EE" w14:textId="77777777" w:rsidR="00A31258" w:rsidRDefault="00A31258">
      <w:r>
        <w:br w:type="page"/>
      </w:r>
    </w:p>
    <w:p w14:paraId="1E0AA383" w14:textId="7AD5206C" w:rsidR="002A3357" w:rsidRDefault="003431FF" w:rsidP="007F2AC1">
      <w:pPr>
        <w:pStyle w:val="NormalH2"/>
      </w:pPr>
      <w:r>
        <w:lastRenderedPageBreak/>
        <w:t xml:space="preserve">2.4. </w:t>
      </w:r>
      <w:r w:rsidR="002A3357" w:rsidRPr="002A3357">
        <w:t>Frequency</w:t>
      </w:r>
    </w:p>
    <w:p w14:paraId="7223BED1" w14:textId="77777777" w:rsidR="003C26AF" w:rsidRPr="003E7538" w:rsidRDefault="003C26AF" w:rsidP="003C26AF">
      <w:r w:rsidRPr="0047246D">
        <w:t>The first dose of primary immunisations can be given at 6 weeks of</w:t>
      </w:r>
      <w:r w:rsidRPr="003E7538">
        <w:t xml:space="preserve"> age if required in certain circumstances e.g. travel to an endemic country or given early with the first dose of the </w:t>
      </w:r>
      <w:r>
        <w:t>h</w:t>
      </w:r>
      <w:r w:rsidRPr="003E7538">
        <w:t>exavalent vaccine to provide protection against hepatitis B infection.</w:t>
      </w:r>
    </w:p>
    <w:p w14:paraId="605C4492" w14:textId="77777777" w:rsidR="003C26AF" w:rsidRDefault="003C26AF" w:rsidP="003C26AF">
      <w:r w:rsidRPr="0047246D">
        <w:t>The course consists of two doses with an interval of four weeks</w:t>
      </w:r>
      <w:r w:rsidRPr="003E7538">
        <w:t xml:space="preserve"> between the doses</w:t>
      </w:r>
      <w:r>
        <w:t>,</w:t>
      </w:r>
      <w:r w:rsidRPr="003E7538">
        <w:t xml:space="preserve"> although the second dose may be given up to a week early when required if primary immunisations are being given before the scheduled date e.g. due to impending travel to an endemic country.</w:t>
      </w:r>
    </w:p>
    <w:p w14:paraId="4EBF7D90" w14:textId="77777777" w:rsidR="003C26AF" w:rsidRPr="003E7538" w:rsidRDefault="003C26AF" w:rsidP="003C26AF">
      <w:r w:rsidRPr="0047246D">
        <w:t>The recommended age for immunisation is a dose at eight weeks</w:t>
      </w:r>
      <w:r w:rsidRPr="003E7538">
        <w:t xml:space="preserve"> followed by a dose at 12 weeks.</w:t>
      </w:r>
    </w:p>
    <w:p w14:paraId="2340E610" w14:textId="77777777" w:rsidR="003C26AF" w:rsidRPr="003E7538" w:rsidRDefault="003C26AF" w:rsidP="003C26AF">
      <w:r w:rsidRPr="0047246D">
        <w:t>It is preferable that the full course of two doses of Rotarix</w:t>
      </w:r>
      <w:r w:rsidRPr="006A3179">
        <w:rPr>
          <w:vertAlign w:val="superscript"/>
        </w:rPr>
        <w:t>®</w:t>
      </w:r>
      <w:r w:rsidRPr="0047246D">
        <w:t xml:space="preserve"> be</w:t>
      </w:r>
      <w:r w:rsidRPr="003E7538">
        <w:t xml:space="preserve"> completed before 16 weeks of age.</w:t>
      </w:r>
    </w:p>
    <w:p w14:paraId="0BC6CB1C" w14:textId="3F1D9DA9" w:rsidR="003C26AF" w:rsidRPr="003E7538" w:rsidRDefault="003C26AF" w:rsidP="003C26AF">
      <w:r w:rsidRPr="0047246D">
        <w:t>Infants older than 15 weeks of age (i.e.</w:t>
      </w:r>
      <w:r w:rsidR="001F06E2">
        <w:t xml:space="preserve"> </w:t>
      </w:r>
      <w:r w:rsidRPr="003E7538">
        <w:t>older than 14 weeks and 6 days), who have not yet received their first dose of Rotarix®, should not be commenced on Rotarix</w:t>
      </w:r>
      <w:r w:rsidRPr="006A3179">
        <w:rPr>
          <w:vertAlign w:val="superscript"/>
        </w:rPr>
        <w:t>®</w:t>
      </w:r>
      <w:r w:rsidRPr="003E7538">
        <w:t>. Infants who receive the first dose before 15 weeks of age should complete the course by 24 weeks of age (i.e. by 23 weeks and 6 days).</w:t>
      </w:r>
    </w:p>
    <w:p w14:paraId="646A95BC" w14:textId="77777777" w:rsidR="003C26AF" w:rsidRPr="003E7538" w:rsidRDefault="003C26AF" w:rsidP="003C26AF">
      <w:r w:rsidRPr="0047246D">
        <w:t>If the course is interrupted it should be resumed but not repeated,</w:t>
      </w:r>
      <w:r w:rsidRPr="003E7538">
        <w:t xml:space="preserve"> provided that the second dose can be given by 24 weeks of age (i.e. by 23 weeks and 6 days). </w:t>
      </w:r>
    </w:p>
    <w:p w14:paraId="5D49C552" w14:textId="67FF3FB6" w:rsidR="003C26AF" w:rsidRDefault="003C26AF" w:rsidP="00E15934">
      <w:r w:rsidRPr="0047246D">
        <w:t>If the infant spits out or regurgitates most of the vaccine, a single</w:t>
      </w:r>
      <w:r>
        <w:t xml:space="preserve"> </w:t>
      </w:r>
      <w:r w:rsidRPr="0047246D">
        <w:t>replacement dose may be given at the same vaccination visit.</w:t>
      </w:r>
    </w:p>
    <w:p w14:paraId="192F92F6" w14:textId="7036B64A" w:rsidR="002A3357" w:rsidRDefault="003431FF" w:rsidP="007F2AC1">
      <w:pPr>
        <w:pStyle w:val="NormalH2"/>
      </w:pPr>
      <w:bookmarkStart w:id="32" w:name="_Toc57039422"/>
      <w:r>
        <w:t xml:space="preserve">2.5. </w:t>
      </w:r>
      <w:r w:rsidR="002A3357" w:rsidRPr="002A3357">
        <w:t>Duration of treatment</w:t>
      </w:r>
      <w:bookmarkEnd w:id="32"/>
    </w:p>
    <w:p w14:paraId="7DFC37A1" w14:textId="34A6B82D" w:rsidR="00E0532D" w:rsidRDefault="009001CF" w:rsidP="009001CF">
      <w:r>
        <w:t>See frequency section.</w:t>
      </w:r>
    </w:p>
    <w:p w14:paraId="5125ADF3" w14:textId="01E7E0C1" w:rsidR="002A3357" w:rsidRDefault="003431FF" w:rsidP="007F2AC1">
      <w:pPr>
        <w:pStyle w:val="NormalH2"/>
      </w:pPr>
      <w:bookmarkStart w:id="33" w:name="_Toc57039423"/>
      <w:r>
        <w:t xml:space="preserve">2.6. </w:t>
      </w:r>
      <w:r w:rsidR="002A3357" w:rsidRPr="002A3357">
        <w:t>Maximum or minimum treatment period</w:t>
      </w:r>
      <w:bookmarkEnd w:id="33"/>
    </w:p>
    <w:p w14:paraId="37A605A9" w14:textId="2703629F" w:rsidR="00962C3D" w:rsidRDefault="00962C3D" w:rsidP="00A31258">
      <w:r>
        <w:t>See frequency section.</w:t>
      </w:r>
    </w:p>
    <w:p w14:paraId="2D8F212A" w14:textId="3E5D1D85" w:rsidR="002A3357" w:rsidRDefault="003431FF" w:rsidP="003431FF">
      <w:pPr>
        <w:pStyle w:val="NormalH2"/>
      </w:pPr>
      <w:bookmarkStart w:id="34" w:name="_Toc57039424"/>
      <w:r>
        <w:lastRenderedPageBreak/>
        <w:t xml:space="preserve">2.7. </w:t>
      </w:r>
      <w:r w:rsidR="002A3357" w:rsidRPr="002A3357">
        <w:t>Quantity to supply/administer</w:t>
      </w:r>
      <w:bookmarkEnd w:id="34"/>
    </w:p>
    <w:p w14:paraId="15424638" w14:textId="65F9604C" w:rsidR="00962C3D" w:rsidRDefault="00962C3D" w:rsidP="00962C3D">
      <w:r>
        <w:t>See frequency section.</w:t>
      </w:r>
    </w:p>
    <w:p w14:paraId="66F81296" w14:textId="2AF02FCF" w:rsidR="002A3357" w:rsidRDefault="003431FF" w:rsidP="003431FF">
      <w:pPr>
        <w:pStyle w:val="NormalH2"/>
      </w:pPr>
      <w:bookmarkStart w:id="35" w:name="_Toc57039425"/>
      <w:r>
        <w:t xml:space="preserve">2.8. </w:t>
      </w:r>
      <w:r w:rsidR="002A3357" w:rsidRPr="002A3357">
        <w:t>▼ black triangle medicines</w:t>
      </w:r>
      <w:bookmarkEnd w:id="35"/>
    </w:p>
    <w:p w14:paraId="5B66D6C3" w14:textId="7F655082" w:rsidR="00962C3D" w:rsidRDefault="00A32E71" w:rsidP="00A32E71">
      <w:r>
        <w:t>No</w:t>
      </w:r>
    </w:p>
    <w:p w14:paraId="55EDE586" w14:textId="77777777" w:rsidR="002A3357" w:rsidRDefault="003431FF" w:rsidP="003431FF">
      <w:pPr>
        <w:pStyle w:val="NormalH2"/>
      </w:pPr>
      <w:bookmarkStart w:id="36" w:name="_Toc57039426"/>
      <w:r>
        <w:t xml:space="preserve">2.9. </w:t>
      </w:r>
      <w:r w:rsidR="002A3357" w:rsidRPr="002A3357">
        <w:t>Legal category</w:t>
      </w:r>
      <w:bookmarkEnd w:id="36"/>
    </w:p>
    <w:p w14:paraId="228B2823" w14:textId="77777777" w:rsidR="006B56A9" w:rsidRPr="006B56A9" w:rsidRDefault="006B56A9" w:rsidP="006B56A9">
      <w:r w:rsidRPr="006B56A9">
        <w:rPr>
          <w:rFonts w:eastAsia="Calibri" w:cs="Times New Roman"/>
        </w:rPr>
        <w:t>Prescription only medicine (POM).</w:t>
      </w:r>
    </w:p>
    <w:p w14:paraId="4F8F941D" w14:textId="5602B044" w:rsidR="002A3357" w:rsidRDefault="003431FF" w:rsidP="003431FF">
      <w:pPr>
        <w:pStyle w:val="NormalH2"/>
      </w:pPr>
      <w:bookmarkStart w:id="37" w:name="_Toc57039427"/>
      <w:r>
        <w:t xml:space="preserve">2.10. </w:t>
      </w:r>
      <w:r w:rsidR="002A3357" w:rsidRPr="002A3357">
        <w:t xml:space="preserve">Is the use </w:t>
      </w:r>
      <w:proofErr w:type="spellStart"/>
      <w:r w:rsidR="002A3357" w:rsidRPr="002A3357">
        <w:t>outwith</w:t>
      </w:r>
      <w:proofErr w:type="spellEnd"/>
      <w:r w:rsidR="002A3357" w:rsidRPr="002A3357">
        <w:t xml:space="preserve"> the S</w:t>
      </w:r>
      <w:r w:rsidR="00053378">
        <w:t>m</w:t>
      </w:r>
      <w:r w:rsidR="002A3357" w:rsidRPr="002A3357">
        <w:t>PC</w:t>
      </w:r>
      <w:bookmarkEnd w:id="37"/>
      <w:r w:rsidR="002A3357" w:rsidRPr="002A3357">
        <w:t>?</w:t>
      </w:r>
    </w:p>
    <w:p w14:paraId="08C51872" w14:textId="77777777" w:rsidR="00F92A3D" w:rsidRDefault="00F92A3D" w:rsidP="00F92A3D">
      <w:r w:rsidRPr="0047246D">
        <w:t>Rotarix</w:t>
      </w:r>
      <w:r w:rsidRPr="006A3179">
        <w:rPr>
          <w:vertAlign w:val="superscript"/>
        </w:rPr>
        <w:t>®</w:t>
      </w:r>
      <w:r w:rsidRPr="0047246D">
        <w:t xml:space="preserve"> Summary of Product Characteristics recommends Rotarix®</w:t>
      </w:r>
      <w:r w:rsidRPr="00A85FBC">
        <w:t xml:space="preserve"> for preterm infants born after at least 27 weeks gestation. National recommendations advise Rotarix® vaccination for all clinically stable preterm infants including those born before 27 weeks gestation, unless exclusion criteria apply.</w:t>
      </w:r>
    </w:p>
    <w:p w14:paraId="4894660E" w14:textId="6B669CA0" w:rsidR="00A32E71" w:rsidRDefault="00F92A3D" w:rsidP="00F92A3D">
      <w:r>
        <w:t>Vaccine should be stored according to the conditions detailed in the Storage section below. However, in the event of an inadvertent or unavoidable deviation of these conditions refer to National Vaccine Incident Guidance. Where vaccine is assessed in accordance with these guidelines as appropriate for continued use this would constitute off-label administration under this PGD.</w:t>
      </w:r>
    </w:p>
    <w:p w14:paraId="52320EBA" w14:textId="5A93A3B4" w:rsidR="002A3357" w:rsidRDefault="003431FF" w:rsidP="003431FF">
      <w:pPr>
        <w:pStyle w:val="NormalH2"/>
      </w:pPr>
      <w:bookmarkStart w:id="38" w:name="_Toc57039428"/>
      <w:r>
        <w:t>2.11</w:t>
      </w:r>
      <w:r w:rsidR="00817A4C">
        <w:t>.</w:t>
      </w:r>
      <w:r>
        <w:t xml:space="preserve"> </w:t>
      </w:r>
      <w:r w:rsidR="002A3357" w:rsidRPr="002A3357">
        <w:t>Storage requirements</w:t>
      </w:r>
      <w:bookmarkEnd w:id="38"/>
    </w:p>
    <w:p w14:paraId="6F2B9C6A" w14:textId="77777777" w:rsidR="00D10892" w:rsidRPr="00A85FBC" w:rsidRDefault="00D10892" w:rsidP="00D10892">
      <w:r w:rsidRPr="0047246D">
        <w:t>Vaccine should be stored at a temperature of +2° to +8°C.</w:t>
      </w:r>
    </w:p>
    <w:p w14:paraId="771C869D" w14:textId="77777777" w:rsidR="00D10892" w:rsidRPr="00A85FBC" w:rsidRDefault="00D10892" w:rsidP="00D10892">
      <w:r w:rsidRPr="0047246D">
        <w:t>Store in the original packaging to protect from light.</w:t>
      </w:r>
    </w:p>
    <w:p w14:paraId="1C653BD5" w14:textId="77777777" w:rsidR="00D10892" w:rsidRPr="00A85FBC" w:rsidRDefault="00D10892" w:rsidP="00D10892">
      <w:r w:rsidRPr="0047246D">
        <w:t>Do not freeze.</w:t>
      </w:r>
    </w:p>
    <w:p w14:paraId="72B52B86" w14:textId="77777777" w:rsidR="00D10892" w:rsidRPr="00A85FBC" w:rsidRDefault="00D10892" w:rsidP="00D10892">
      <w:r w:rsidRPr="0047246D">
        <w:t xml:space="preserve">NHS </w:t>
      </w:r>
      <w:r>
        <w:t>B</w:t>
      </w:r>
      <w:r w:rsidRPr="0047246D">
        <w:t>oard guidance on Storage and Handling of vaccines should</w:t>
      </w:r>
      <w:r w:rsidRPr="00A85FBC">
        <w:t xml:space="preserve"> be observed. </w:t>
      </w:r>
    </w:p>
    <w:p w14:paraId="6CFC1AB6" w14:textId="550E8BF4" w:rsidR="00F92A3D" w:rsidRDefault="00D10892" w:rsidP="00D10892">
      <w:r w:rsidRPr="0047246D">
        <w:lastRenderedPageBreak/>
        <w:t>In the event of an inadvertent or unavoidable deviation of these</w:t>
      </w:r>
      <w:r>
        <w:t xml:space="preserve"> </w:t>
      </w:r>
      <w:r w:rsidRPr="0047246D">
        <w:t>conditions, vaccine that has been stored outside the conditions</w:t>
      </w:r>
      <w:r>
        <w:t xml:space="preserve"> </w:t>
      </w:r>
      <w:r w:rsidRPr="0047246D">
        <w:t>stated above should be quarantined and risk assessed for suitability</w:t>
      </w:r>
      <w:r>
        <w:t xml:space="preserve"> </w:t>
      </w:r>
      <w:r w:rsidRPr="0047246D">
        <w:t>of continued off-label use or appropriate disposal.</w:t>
      </w:r>
    </w:p>
    <w:p w14:paraId="656BC884" w14:textId="77777777" w:rsidR="002A3357" w:rsidRDefault="003431FF" w:rsidP="003431FF">
      <w:pPr>
        <w:pStyle w:val="NormalH2"/>
      </w:pPr>
      <w:bookmarkStart w:id="39" w:name="_Toc57039429"/>
      <w:r>
        <w:t xml:space="preserve">2.12. </w:t>
      </w:r>
      <w:r w:rsidR="002A3357" w:rsidRPr="002A3357">
        <w:t>Additional information</w:t>
      </w:r>
      <w:bookmarkEnd w:id="39"/>
    </w:p>
    <w:p w14:paraId="74ADC6F1" w14:textId="77777777" w:rsidR="002B257C" w:rsidRPr="007977DF" w:rsidRDefault="002B257C" w:rsidP="002B257C">
      <w:r w:rsidRPr="00E954BA">
        <w:t>Minor illnesses without fever or systemic upset are not valid reasons to postpone immunisation. If an individual is acutely unwell, immunisation may be postponed until they have fully recovered.</w:t>
      </w:r>
    </w:p>
    <w:p w14:paraId="6BEF0D14" w14:textId="403114EB" w:rsidR="002B257C" w:rsidRDefault="002B257C" w:rsidP="002B257C">
      <w:r>
        <w:rPr>
          <w:rStyle w:val="showPElogoEditorialuseonly"/>
        </w:rPr>
        <w:t>If the infant spits out or regurgitates most of the vaccine, a single replacement dose may be given at the same vaccination visit.</w:t>
      </w:r>
      <w:r w:rsidR="00B17C05">
        <w:rPr>
          <w:rStyle w:val="showPElogoEditorialuseonly"/>
        </w:rPr>
        <w:t xml:space="preserve"> </w:t>
      </w:r>
      <w:r w:rsidRPr="0047246D">
        <w:t xml:space="preserve">Very premature infants (born </w:t>
      </w:r>
      <w:r>
        <w:t xml:space="preserve">less than or equal to </w:t>
      </w:r>
      <w:r w:rsidRPr="0047246D">
        <w:t>28 weeks of gestation) who are in</w:t>
      </w:r>
      <w:r>
        <w:t xml:space="preserve"> </w:t>
      </w:r>
      <w:r w:rsidRPr="0047246D">
        <w:t>hospital should hav</w:t>
      </w:r>
      <w:r>
        <w:t xml:space="preserve">e respiratory monitoring for 48 to </w:t>
      </w:r>
      <w:r w:rsidRPr="0047246D">
        <w:t>72 hrs when</w:t>
      </w:r>
      <w:r>
        <w:t xml:space="preserve"> </w:t>
      </w:r>
      <w:r w:rsidRPr="0047246D">
        <w:t>given their first routine immunisations, particularly those with a</w:t>
      </w:r>
      <w:r>
        <w:t xml:space="preserve"> </w:t>
      </w:r>
      <w:r w:rsidRPr="0047246D">
        <w:t>previous history of respiratory immaturity. If the child has apnoea,</w:t>
      </w:r>
      <w:r>
        <w:t xml:space="preserve"> </w:t>
      </w:r>
      <w:r w:rsidRPr="0047246D">
        <w:t>bradycardia or desaturations after the first routine immunisations,</w:t>
      </w:r>
      <w:r>
        <w:t xml:space="preserve"> </w:t>
      </w:r>
      <w:r w:rsidRPr="0047246D">
        <w:t>the second immunisation should also be given in hospital, with</w:t>
      </w:r>
      <w:r>
        <w:t xml:space="preserve"> respiratory monitoring for </w:t>
      </w:r>
      <w:r w:rsidR="00BF46B5">
        <w:br/>
      </w:r>
      <w:r>
        <w:t xml:space="preserve">48 to </w:t>
      </w:r>
      <w:r w:rsidRPr="0047246D">
        <w:t>72 hrs.</w:t>
      </w:r>
    </w:p>
    <w:p w14:paraId="6BDABFED" w14:textId="48983EFC" w:rsidR="00243B47" w:rsidRDefault="00243B47" w:rsidP="002B257C">
      <w:r w:rsidRPr="00243B47">
        <w:t xml:space="preserve">There is a potential for transmission of the live attenuated vaccine strain in rotavirus vaccine from the immunised infant to severely immunocompromised contacts through faecal material for at least 14 days. However, vaccination of the infant will offer protection to household contacts from wild-type rotavirus disease and outweigh any risk from transmission of vaccine virus to any immunocompromised close contacts. Those in close contact with recently vaccinated infants should observe good personal hygiene, for instance wash their hands after changing infant's nappies and before food preparation or direct contact with the immunocompromised person (see </w:t>
      </w:r>
      <w:hyperlink r:id="rId31" w:history="1">
        <w:r w:rsidRPr="006B3F35">
          <w:rPr>
            <w:rStyle w:val="Hyperlink"/>
          </w:rPr>
          <w:t>Green Book Chapter 6</w:t>
        </w:r>
      </w:hyperlink>
      <w:r w:rsidRPr="00243B47">
        <w:t>).</w:t>
      </w:r>
    </w:p>
    <w:p w14:paraId="65A15C57" w14:textId="77777777" w:rsidR="00B767B3" w:rsidRDefault="00B767B3">
      <w:r>
        <w:br w:type="page"/>
      </w:r>
    </w:p>
    <w:p w14:paraId="7A6073B5" w14:textId="77777777" w:rsidR="007639B5" w:rsidRDefault="007F2AC1" w:rsidP="007F2AC1">
      <w:pPr>
        <w:pStyle w:val="NormalH1"/>
      </w:pPr>
      <w:bookmarkStart w:id="40" w:name="_Toc124848778"/>
      <w:r>
        <w:lastRenderedPageBreak/>
        <w:t xml:space="preserve">3. </w:t>
      </w:r>
      <w:r w:rsidR="007639B5" w:rsidRPr="007639B5">
        <w:t>Adverse reactions</w:t>
      </w:r>
      <w:bookmarkEnd w:id="40"/>
    </w:p>
    <w:p w14:paraId="6143DB7E" w14:textId="31F9F7FF" w:rsidR="002A3357" w:rsidRDefault="003431FF" w:rsidP="003A275C">
      <w:pPr>
        <w:pStyle w:val="NormalH2"/>
      </w:pPr>
      <w:r w:rsidRPr="003A275C">
        <w:t>3.1</w:t>
      </w:r>
      <w:r w:rsidR="009D1F3E" w:rsidRPr="003A275C">
        <w:t>.</w:t>
      </w:r>
      <w:r w:rsidRPr="003A275C">
        <w:t xml:space="preserve"> </w:t>
      </w:r>
      <w:r w:rsidR="002A3357" w:rsidRPr="003A275C">
        <w:t>Warnings including possible adverse reactions and management of these</w:t>
      </w:r>
    </w:p>
    <w:p w14:paraId="1AED1A5E" w14:textId="77777777" w:rsidR="0010639F" w:rsidRPr="0006652F" w:rsidRDefault="0010639F" w:rsidP="0010639F">
      <w:r w:rsidRPr="000054A3">
        <w:t>The most common adverse reactions observed after administration</w:t>
      </w:r>
      <w:r w:rsidRPr="0006652F">
        <w:t xml:space="preserve"> of Rotarix</w:t>
      </w:r>
      <w:r w:rsidRPr="006A3179">
        <w:rPr>
          <w:vertAlign w:val="superscript"/>
        </w:rPr>
        <w:t>®</w:t>
      </w:r>
      <w:r w:rsidRPr="0006652F">
        <w:t xml:space="preserve"> vaccine are diarrhoea and irritability. Other reactions commonly reported are vomiting, abdominal pain, flatulence, skin inflammation, regurgitation of food, fever and loss of appetite.</w:t>
      </w:r>
    </w:p>
    <w:p w14:paraId="1519576D" w14:textId="77777777" w:rsidR="0010639F" w:rsidRPr="0006652F" w:rsidRDefault="0010639F" w:rsidP="0010639F">
      <w:r w:rsidRPr="0091230A">
        <w:t>Intussusception is a natural</w:t>
      </w:r>
      <w:r>
        <w:t>l</w:t>
      </w:r>
      <w:r w:rsidRPr="0091230A">
        <w:t>y</w:t>
      </w:r>
      <w:r>
        <w:t xml:space="preserve"> </w:t>
      </w:r>
      <w:r w:rsidRPr="0091230A">
        <w:t xml:space="preserve">occurring condition where the part of the intestine prolapses, or telescopes, into another part causing an obstruction. Intussusception has a background annual incidence of around 120 cases per 100,000 children aged under one year. The background risk of intussusception in the UK increases to peak at around 5 months of age. </w:t>
      </w:r>
    </w:p>
    <w:p w14:paraId="083BAAD2" w14:textId="77777777" w:rsidR="0010639F" w:rsidRPr="0006652F" w:rsidRDefault="0010639F" w:rsidP="0010639F">
      <w:r w:rsidRPr="0091230A">
        <w:t>Some countries have reported a small increase in the risk of intussusception within seven days of vaccination</w:t>
      </w:r>
      <w:r w:rsidRPr="0006652F">
        <w:t>, possibly two cases per 100,000 first doses given and the Rotarix</w:t>
      </w:r>
      <w:r w:rsidRPr="006A3179">
        <w:rPr>
          <w:vertAlign w:val="superscript"/>
        </w:rPr>
        <w:t>®</w:t>
      </w:r>
      <w:r w:rsidRPr="0006652F">
        <w:t xml:space="preserve"> prescribing information includes this as a possible side effect</w:t>
      </w:r>
      <w:r>
        <w:t>.</w:t>
      </w:r>
    </w:p>
    <w:p w14:paraId="7414F2EF" w14:textId="77777777" w:rsidR="0010639F" w:rsidRDefault="0010639F" w:rsidP="0010639F">
      <w:r w:rsidRPr="0091230A">
        <w:t>The benefits of vaccination in preventing the consequences of rotavirus infection outweigh this small potential risk in young children. Because of the potential risk, and to reduce the likelihood of a temporal association with rotavirus vaccine, the first dose of vaccine should not be given after 15 weeks of age</w:t>
      </w:r>
      <w:r w:rsidRPr="0006652F">
        <w:t xml:space="preserve"> and the second dose must not be given after 24 weeks of age.</w:t>
      </w:r>
    </w:p>
    <w:p w14:paraId="62B8A0F3" w14:textId="77777777" w:rsidR="0010639F" w:rsidRPr="006A4DED" w:rsidRDefault="0010639F" w:rsidP="0010639F">
      <w:r w:rsidRPr="008F167C">
        <w:t>For full details/information on possible side effects, refer to the marketing authorisation holder’s S</w:t>
      </w:r>
      <w:r w:rsidRPr="006A4DED">
        <w:t>mPC.</w:t>
      </w:r>
    </w:p>
    <w:p w14:paraId="60037A4B" w14:textId="77777777" w:rsidR="0010639F" w:rsidRPr="006A4DED" w:rsidRDefault="0010639F" w:rsidP="0010639F">
      <w:r w:rsidRPr="008F167C">
        <w:t>As with all vaccines</w:t>
      </w:r>
      <w:r w:rsidRPr="006A4DED">
        <w:t xml:space="preserve"> there is a very small possibility of anaphylaxis and facilities for its management must be available.</w:t>
      </w:r>
    </w:p>
    <w:p w14:paraId="5DABB6B8" w14:textId="3AF955F5" w:rsidR="002B257C" w:rsidRPr="003A275C" w:rsidRDefault="0010639F" w:rsidP="0010639F">
      <w:r w:rsidRPr="0006652F">
        <w:t>In the event of severe adverse reaction including infants with abdominal pain, vomiting and passing what looks like red currant jelly in their nappies parents/guardians should be advised to seek urgent medical advice.</w:t>
      </w:r>
    </w:p>
    <w:p w14:paraId="03484A9E" w14:textId="77777777" w:rsidR="002A3357" w:rsidRDefault="009D1F3E" w:rsidP="003A275C">
      <w:pPr>
        <w:pStyle w:val="NormalH2"/>
      </w:pPr>
      <w:r>
        <w:lastRenderedPageBreak/>
        <w:t xml:space="preserve">3.2. </w:t>
      </w:r>
      <w:r w:rsidR="002A3357" w:rsidRPr="002A3357">
        <w:t>Reporting procedure for adverse reactions</w:t>
      </w:r>
    </w:p>
    <w:p w14:paraId="07633AB6" w14:textId="77777777" w:rsidR="00BE4CCF" w:rsidRDefault="00BE4CCF" w:rsidP="00BE4CCF">
      <w:r w:rsidRPr="002264D2">
        <w:t xml:space="preserve">Healthcare professionals and individuals/carers should report all suspected adverse reactions to the Medicines and Healthcare products Regulatory Agency (MHRA) using the Yellow Card reporting scheme on </w:t>
      </w:r>
      <w:hyperlink r:id="rId32" w:history="1">
        <w:r w:rsidRPr="002264D2">
          <w:rPr>
            <w:rStyle w:val="Hyperlink"/>
          </w:rPr>
          <w:t>http://www.mhra.gov.uk/yellowcard</w:t>
        </w:r>
      </w:hyperlink>
    </w:p>
    <w:p w14:paraId="04D00B26" w14:textId="35FC4AA5" w:rsidR="00BE4CCF" w:rsidRPr="00CF1C5D" w:rsidRDefault="00BE4CCF" w:rsidP="00BE4CCF">
      <w:r w:rsidRPr="00CF1C5D">
        <w:t xml:space="preserve">Any adverse reaction to a vaccine should be documented in accordance with </w:t>
      </w:r>
      <w:r w:rsidR="00BF46B5">
        <w:br/>
      </w:r>
      <w:r w:rsidRPr="00CF1C5D">
        <w:t>locally agreed procedures in the individual’s record and the individual’s GP should be informed.</w:t>
      </w:r>
    </w:p>
    <w:p w14:paraId="3C486FA9" w14:textId="420CB501" w:rsidR="002A3357" w:rsidRDefault="009D1F3E" w:rsidP="009D1F3E">
      <w:pPr>
        <w:pStyle w:val="NormalH2"/>
      </w:pPr>
      <w:r>
        <w:t xml:space="preserve">3.3. </w:t>
      </w:r>
      <w:r w:rsidR="002A3357" w:rsidRPr="002A3357">
        <w:t>Advice to patient or carer including written information</w:t>
      </w:r>
    </w:p>
    <w:p w14:paraId="3E4E0F88" w14:textId="77777777" w:rsidR="0063738C" w:rsidRDefault="0063738C" w:rsidP="0063738C">
      <w:r w:rsidRPr="0024573C">
        <w:t>Written information to be given to individual</w:t>
      </w:r>
      <w:r w:rsidRPr="006A4DED">
        <w:t>s:</w:t>
      </w:r>
    </w:p>
    <w:p w14:paraId="53B6AA59" w14:textId="7435CF44" w:rsidR="0063738C" w:rsidRPr="006A4DED" w:rsidRDefault="0063738C" w:rsidP="0063738C">
      <w:pPr>
        <w:pStyle w:val="Bullet1"/>
      </w:pPr>
      <w:r w:rsidRPr="00912AC3">
        <w:t>Provide manufacturer’s consumer information leaflet/patient information leaflet (PIL) provided with the vaccine.</w:t>
      </w:r>
      <w:r w:rsidR="003C5A06">
        <w:t xml:space="preserve"> </w:t>
      </w:r>
    </w:p>
    <w:p w14:paraId="21B1FF49" w14:textId="77777777" w:rsidR="0063738C" w:rsidRDefault="0063738C" w:rsidP="0063738C">
      <w:pPr>
        <w:pStyle w:val="Bullet1"/>
      </w:pPr>
      <w:r w:rsidRPr="00866DA6">
        <w:t>Supply immunisation promotional material as appropriate.</w:t>
      </w:r>
    </w:p>
    <w:p w14:paraId="449B5D06" w14:textId="64C7FAC1" w:rsidR="0063738C" w:rsidRPr="006A4DED" w:rsidRDefault="0063738C" w:rsidP="0063738C">
      <w:r w:rsidRPr="0024573C">
        <w:t>Individual advice/follow</w:t>
      </w:r>
      <w:r w:rsidR="00BF46B5">
        <w:t>-</w:t>
      </w:r>
      <w:r w:rsidRPr="0024573C">
        <w:t>up treatment</w:t>
      </w:r>
      <w:r>
        <w:t>:</w:t>
      </w:r>
    </w:p>
    <w:p w14:paraId="174C904A" w14:textId="77777777" w:rsidR="0063738C" w:rsidRDefault="0063738C" w:rsidP="0063738C">
      <w:pPr>
        <w:pStyle w:val="Bullet1"/>
      </w:pPr>
      <w:r w:rsidRPr="00912AC3">
        <w:t xml:space="preserve">Inform the individual/carer of possible side effects and their management. </w:t>
      </w:r>
    </w:p>
    <w:p w14:paraId="6F4829F1" w14:textId="77777777" w:rsidR="0063738C" w:rsidRPr="0006652F" w:rsidRDefault="0063738C" w:rsidP="0063738C">
      <w:pPr>
        <w:pStyle w:val="Bullet1"/>
      </w:pPr>
      <w:r w:rsidRPr="0006652F">
        <w:t xml:space="preserve">Parents/carers should be advised to promptly report any of the following </w:t>
      </w:r>
      <w:proofErr w:type="gramStart"/>
      <w:r w:rsidRPr="0006652F">
        <w:t>symptoms</w:t>
      </w:r>
      <w:proofErr w:type="gramEnd"/>
      <w:r w:rsidRPr="0006652F">
        <w:t xml:space="preserve"> indicative of intussusception:</w:t>
      </w:r>
    </w:p>
    <w:p w14:paraId="3E7DF232" w14:textId="77777777" w:rsidR="0063738C" w:rsidRPr="0006652F" w:rsidRDefault="0063738C" w:rsidP="0063738C">
      <w:pPr>
        <w:pStyle w:val="Bullet2"/>
      </w:pPr>
      <w:r w:rsidRPr="0006652F">
        <w:t>severe abdominal pain</w:t>
      </w:r>
    </w:p>
    <w:p w14:paraId="00C13485" w14:textId="77777777" w:rsidR="0063738C" w:rsidRPr="0006652F" w:rsidRDefault="0063738C" w:rsidP="0063738C">
      <w:pPr>
        <w:pStyle w:val="Bullet2"/>
      </w:pPr>
      <w:r w:rsidRPr="0006652F">
        <w:t>persistent vomiting</w:t>
      </w:r>
    </w:p>
    <w:p w14:paraId="0F088951" w14:textId="77777777" w:rsidR="0063738C" w:rsidRPr="0006652F" w:rsidRDefault="0063738C" w:rsidP="0063738C">
      <w:pPr>
        <w:pStyle w:val="Bullet2"/>
      </w:pPr>
      <w:r w:rsidRPr="0006652F">
        <w:t>bloody stools</w:t>
      </w:r>
    </w:p>
    <w:p w14:paraId="5588A857" w14:textId="77777777" w:rsidR="0063738C" w:rsidRPr="0006652F" w:rsidRDefault="0063738C" w:rsidP="0063738C">
      <w:pPr>
        <w:pStyle w:val="Bullet2"/>
      </w:pPr>
      <w:r w:rsidRPr="0006652F">
        <w:t xml:space="preserve">abdominal bloating </w:t>
      </w:r>
    </w:p>
    <w:p w14:paraId="76AEF49F" w14:textId="77777777" w:rsidR="0063738C" w:rsidRPr="0006652F" w:rsidRDefault="0063738C" w:rsidP="0063738C">
      <w:pPr>
        <w:pStyle w:val="Bullet2"/>
      </w:pPr>
      <w:r w:rsidRPr="0006652F">
        <w:t>high fever</w:t>
      </w:r>
    </w:p>
    <w:p w14:paraId="7C88B489" w14:textId="2049F9F6" w:rsidR="0010639F" w:rsidRDefault="0063738C" w:rsidP="009D1F3E">
      <w:pPr>
        <w:pStyle w:val="Bullet1"/>
      </w:pPr>
      <w:r w:rsidRPr="0006652F">
        <w:lastRenderedPageBreak/>
        <w:t xml:space="preserve">Advise parents/guardians that contacts of infants who have had Rotarix® vaccine should observe good personal hygiene, </w:t>
      </w:r>
      <w:r w:rsidR="001B746E" w:rsidRPr="0006652F">
        <w:t>e.g</w:t>
      </w:r>
      <w:r w:rsidR="001B746E">
        <w:t>.,</w:t>
      </w:r>
      <w:r w:rsidRPr="0006652F">
        <w:t xml:space="preserve"> wash their hands after changing vaccinee’s nappies.</w:t>
      </w:r>
    </w:p>
    <w:p w14:paraId="75AA1867" w14:textId="77777777" w:rsidR="002A3357" w:rsidRDefault="009D1F3E" w:rsidP="009D1F3E">
      <w:pPr>
        <w:pStyle w:val="NormalH2"/>
      </w:pPr>
      <w:r>
        <w:t xml:space="preserve">3.4. </w:t>
      </w:r>
      <w:r w:rsidR="002A3357" w:rsidRPr="002A3357">
        <w:t>Observation following vaccination</w:t>
      </w:r>
    </w:p>
    <w:p w14:paraId="19771770" w14:textId="37C18722" w:rsidR="009D1F3E" w:rsidRDefault="009D1F3E" w:rsidP="009D1F3E">
      <w:r w:rsidRPr="00703A8C">
        <w:t xml:space="preserve">Following immunisation, patients remain under observation in line with NHS </w:t>
      </w:r>
      <w:r w:rsidR="00521F8B">
        <w:br/>
        <w:t>b</w:t>
      </w:r>
      <w:r w:rsidRPr="00703A8C">
        <w:t>oard policy.</w:t>
      </w:r>
    </w:p>
    <w:p w14:paraId="08CAEC72" w14:textId="3829D2AC" w:rsidR="002A3357" w:rsidRDefault="009D1F3E" w:rsidP="009D1F3E">
      <w:pPr>
        <w:pStyle w:val="NormalH2"/>
      </w:pPr>
      <w:r>
        <w:t xml:space="preserve">3.5. </w:t>
      </w:r>
      <w:r w:rsidR="002A3357" w:rsidRPr="002A3357">
        <w:t>Follow up</w:t>
      </w:r>
    </w:p>
    <w:p w14:paraId="3783F018" w14:textId="277CA553" w:rsidR="0063738C" w:rsidRPr="00213513" w:rsidRDefault="00213513" w:rsidP="00213513">
      <w:r w:rsidRPr="0006652F">
        <w:t>If appropriate</w:t>
      </w:r>
      <w:r>
        <w:t>,</w:t>
      </w:r>
      <w:r w:rsidRPr="0006652F">
        <w:t xml:space="preserve"> remind parents/guardian that a further dose will be required to complete the course.</w:t>
      </w:r>
    </w:p>
    <w:p w14:paraId="2E64F7CD" w14:textId="77777777" w:rsidR="002A3357" w:rsidRDefault="009D1F3E" w:rsidP="009D1F3E">
      <w:pPr>
        <w:pStyle w:val="NormalH2"/>
      </w:pPr>
      <w:r>
        <w:t xml:space="preserve">3.6. </w:t>
      </w:r>
      <w:r w:rsidR="002A3357" w:rsidRPr="002A3357">
        <w:t>Additional facilities</w:t>
      </w:r>
    </w:p>
    <w:p w14:paraId="72833914" w14:textId="77777777" w:rsidR="009D1F3E" w:rsidRDefault="009D1F3E" w:rsidP="009D1F3E">
      <w:r w:rsidRPr="001712F3">
        <w:t xml:space="preserve">A protocol for the management of anaphylaxis and an anaphylaxis pack must always be available whenever vaccines are given. Immediate treatment should include early treatment with intramuscular adrenaline, with an early call for help and further IM adrenaline every 5 minutes. </w:t>
      </w:r>
    </w:p>
    <w:p w14:paraId="2F31AAA7" w14:textId="77777777" w:rsidR="00053378" w:rsidRDefault="009D1F3E">
      <w:r w:rsidRPr="001712F3">
        <w:t>The health professionals overseeing the immunisation service must be trained to recognise an anaphylactic reaction and be familiar with techniques for resuscitation of a patient with anaphylaxis.</w:t>
      </w:r>
    </w:p>
    <w:p w14:paraId="1F6CA236" w14:textId="77777777" w:rsidR="00D21034" w:rsidRDefault="00D21034">
      <w:r>
        <w:br w:type="page"/>
      </w:r>
    </w:p>
    <w:p w14:paraId="2597A76B" w14:textId="77777777" w:rsidR="007639B5" w:rsidRDefault="00EC3EE6" w:rsidP="00EC3EE6">
      <w:pPr>
        <w:pStyle w:val="NormalH1"/>
      </w:pPr>
      <w:bookmarkStart w:id="41" w:name="_Toc124848779"/>
      <w:r>
        <w:lastRenderedPageBreak/>
        <w:t xml:space="preserve">4. </w:t>
      </w:r>
      <w:r w:rsidR="007639B5" w:rsidRPr="00EC3EE6">
        <w:t>Characteristics</w:t>
      </w:r>
      <w:r w:rsidR="007639B5" w:rsidRPr="007639B5">
        <w:t xml:space="preserve"> of staff authorised under the PGD</w:t>
      </w:r>
      <w:bookmarkEnd w:id="41"/>
    </w:p>
    <w:p w14:paraId="45FE7762" w14:textId="77777777" w:rsidR="00A6610C" w:rsidRDefault="009D1F3E" w:rsidP="009D1F3E">
      <w:pPr>
        <w:pStyle w:val="NormalH2"/>
      </w:pPr>
      <w:r>
        <w:t xml:space="preserve">4.1. </w:t>
      </w:r>
      <w:r w:rsidR="00A6610C" w:rsidRPr="00A6610C">
        <w:t>Professional qualifications</w:t>
      </w:r>
    </w:p>
    <w:p w14:paraId="4E36B754" w14:textId="77777777" w:rsidR="009D1F3E" w:rsidRPr="00703A8C" w:rsidRDefault="009D1F3E" w:rsidP="009D1F3E">
      <w:r w:rsidRPr="00703A8C">
        <w:t>The following classes of registered healthcare practitioners are permitted to administer this vaccine:</w:t>
      </w:r>
    </w:p>
    <w:p w14:paraId="2423EB5B" w14:textId="0C04E0E9" w:rsidR="009D1F3E" w:rsidRPr="00703A8C" w:rsidRDefault="009D1F3E" w:rsidP="009D1F3E">
      <w:pPr>
        <w:pStyle w:val="Bullet1"/>
      </w:pPr>
      <w:r w:rsidRPr="00703A8C">
        <w:t>nurses and midwives currently registered with the Nursing and Midwifery Council (NMC)</w:t>
      </w:r>
      <w:r w:rsidR="00DF106E">
        <w:t>.</w:t>
      </w:r>
    </w:p>
    <w:p w14:paraId="1108D3BC" w14:textId="1669F95F" w:rsidR="009D1F3E" w:rsidRDefault="009D1F3E" w:rsidP="009D1F3E">
      <w:pPr>
        <w:pStyle w:val="Bullet1"/>
      </w:pPr>
      <w:r w:rsidRPr="00703A8C">
        <w:t xml:space="preserve">pharmacists currently registered with the General Pharmaceutical </w:t>
      </w:r>
      <w:r w:rsidR="00521F8B">
        <w:br/>
      </w:r>
      <w:r w:rsidRPr="00703A8C">
        <w:t>Council (GPhC)</w:t>
      </w:r>
      <w:r w:rsidR="00DF106E">
        <w:t>.</w:t>
      </w:r>
    </w:p>
    <w:p w14:paraId="0B3EBFE4" w14:textId="227CDBE5" w:rsidR="0000140B" w:rsidRPr="009456E2" w:rsidRDefault="006A3179" w:rsidP="0000140B">
      <w:pPr>
        <w:pStyle w:val="Bullet1"/>
      </w:pPr>
      <w:r>
        <w:t>p</w:t>
      </w:r>
      <w:r w:rsidR="0000140B" w:rsidRPr="009456E2">
        <w:t>harmacy technicians currently registered with the General Pharmaceutical Council (GPhC).</w:t>
      </w:r>
    </w:p>
    <w:p w14:paraId="1AAF8653" w14:textId="4C036264" w:rsidR="009D1F3E" w:rsidRPr="00703A8C" w:rsidRDefault="009D1F3E" w:rsidP="009D1F3E">
      <w:pPr>
        <w:pStyle w:val="Bullet1"/>
      </w:pPr>
      <w:r w:rsidRPr="00703A8C">
        <w:t>chiropodists/podiatrists, dieticians, occupational therapists, orthoptists, orthotists/prosthetists, paramedics, physiotherapists, radiographers and speech and language therapists currently registered with the Health and Care Professions Council (HCPC)</w:t>
      </w:r>
      <w:r w:rsidR="00DF106E">
        <w:t>.</w:t>
      </w:r>
    </w:p>
    <w:p w14:paraId="5AC0EC60" w14:textId="7A907911" w:rsidR="009D1F3E" w:rsidRPr="00703A8C" w:rsidRDefault="009D1F3E" w:rsidP="009D1F3E">
      <w:pPr>
        <w:pStyle w:val="Bullet1"/>
      </w:pPr>
      <w:r w:rsidRPr="00703A8C">
        <w:t xml:space="preserve">dental hygienists and dental therapists registered with the General </w:t>
      </w:r>
      <w:r w:rsidR="00521F8B">
        <w:br/>
      </w:r>
      <w:r w:rsidRPr="00703A8C">
        <w:t>Dental Council</w:t>
      </w:r>
      <w:r w:rsidR="00DF106E">
        <w:t>.</w:t>
      </w:r>
    </w:p>
    <w:p w14:paraId="363910FE" w14:textId="77777777" w:rsidR="009D1F3E" w:rsidRPr="00703A8C" w:rsidRDefault="009D1F3E" w:rsidP="009D1F3E">
      <w:pPr>
        <w:pStyle w:val="Bullet1"/>
      </w:pPr>
      <w:r w:rsidRPr="00703A8C">
        <w:t>optometrists registered with the General Optical Council.</w:t>
      </w:r>
    </w:p>
    <w:p w14:paraId="464DAC40" w14:textId="77777777" w:rsidR="009336EE" w:rsidRDefault="009D1F3E" w:rsidP="009D1F3E">
      <w:pPr>
        <w:pStyle w:val="NormalH2"/>
      </w:pPr>
      <w:r>
        <w:t xml:space="preserve">4.2. </w:t>
      </w:r>
      <w:r w:rsidR="009336EE">
        <w:t>Specialist competencies or qualifications</w:t>
      </w:r>
    </w:p>
    <w:p w14:paraId="2CD5F422" w14:textId="77777777" w:rsidR="009336EE" w:rsidRDefault="009336EE" w:rsidP="00637D4B">
      <w:r w:rsidRPr="00A6610C">
        <w:t>Persons must only work under this PGD where they are competent to do so.</w:t>
      </w:r>
    </w:p>
    <w:p w14:paraId="270390DF" w14:textId="77777777" w:rsidR="00FF2567" w:rsidRPr="00DA46D7" w:rsidRDefault="00FF2567" w:rsidP="00637D4B">
      <w:pPr>
        <w:rPr>
          <w:rStyle w:val="Bold"/>
          <w:b w:val="0"/>
          <w:bCs/>
        </w:rPr>
      </w:pPr>
      <w:r w:rsidRPr="00DA46D7">
        <w:rPr>
          <w:rStyle w:val="Bold"/>
          <w:b w:val="0"/>
          <w:bCs/>
        </w:rPr>
        <w:t>All persons operating this PGD</w:t>
      </w:r>
      <w:r w:rsidR="00926771" w:rsidRPr="00DA46D7">
        <w:rPr>
          <w:rStyle w:val="Bold"/>
          <w:b w:val="0"/>
          <w:bCs/>
        </w:rPr>
        <w:t>:</w:t>
      </w:r>
    </w:p>
    <w:p w14:paraId="4ED990A7" w14:textId="3F1E3CAC" w:rsidR="00AB0667" w:rsidRPr="003C72A7" w:rsidRDefault="00AB0667" w:rsidP="00AB0667">
      <w:pPr>
        <w:pStyle w:val="Bullet1"/>
      </w:pPr>
      <w:r w:rsidRPr="003C72A7">
        <w:t>must be authorised by name by their employer as an approved person under the current terms of this PGD before working to it</w:t>
      </w:r>
      <w:r w:rsidR="00DA46D7">
        <w:t>.</w:t>
      </w:r>
    </w:p>
    <w:p w14:paraId="0B8F481D" w14:textId="186E5B76" w:rsidR="00AB0667" w:rsidRPr="003C72A7" w:rsidRDefault="00AB0667" w:rsidP="00AB0667">
      <w:pPr>
        <w:pStyle w:val="Bullet1"/>
      </w:pPr>
      <w:r w:rsidRPr="003C72A7">
        <w:lastRenderedPageBreak/>
        <w:t>must be familiar with the vaccine product and alert to changes in the manufacturer</w:t>
      </w:r>
      <w:r w:rsidR="00A31258">
        <w:t>’</w:t>
      </w:r>
      <w:r w:rsidRPr="003C72A7">
        <w:t>s product information/</w:t>
      </w:r>
      <w:r w:rsidR="00EC4E6D">
        <w:t>SmPC</w:t>
      </w:r>
      <w:r w:rsidR="00DA46D7">
        <w:t>.</w:t>
      </w:r>
    </w:p>
    <w:p w14:paraId="12CE342A" w14:textId="01FDD30B" w:rsidR="00AB0667" w:rsidRPr="003C72A7" w:rsidRDefault="00AB0667" w:rsidP="00AB0667">
      <w:pPr>
        <w:pStyle w:val="Bullet1"/>
      </w:pPr>
      <w:r w:rsidRPr="003C72A7">
        <w:t>must be competent to undertake immunisation and to discuss issues related to immunisation to assess patients for vaccination and obtain consent</w:t>
      </w:r>
      <w:r w:rsidR="00213513">
        <w:t>.</w:t>
      </w:r>
    </w:p>
    <w:p w14:paraId="0BB3E882" w14:textId="019602B9" w:rsidR="00AB0667" w:rsidRPr="003C72A7" w:rsidRDefault="00AB0667" w:rsidP="00AB0667">
      <w:pPr>
        <w:pStyle w:val="Bullet1"/>
      </w:pPr>
      <w:r w:rsidRPr="003C72A7">
        <w:t>must be competent in the correct storage of vaccines and management of the cold chain if receiving, responsible for, or handling the vaccine</w:t>
      </w:r>
      <w:r w:rsidR="00213513">
        <w:t>.</w:t>
      </w:r>
    </w:p>
    <w:p w14:paraId="0FEB6E04" w14:textId="73DF239C" w:rsidR="00AB0667" w:rsidRPr="003C72A7" w:rsidRDefault="00AB0667" w:rsidP="00AB0667">
      <w:pPr>
        <w:pStyle w:val="Bullet1"/>
      </w:pPr>
      <w:r w:rsidRPr="003C72A7">
        <w:t>must be competent in the recognition and management of anaphylaxis or under the supervision of persons able to respond appropriately to immediate adverse reactions</w:t>
      </w:r>
      <w:r w:rsidR="00213513">
        <w:t>.</w:t>
      </w:r>
    </w:p>
    <w:p w14:paraId="55E83810" w14:textId="52661C4B" w:rsidR="00AB0667" w:rsidRPr="003C72A7" w:rsidRDefault="00AB0667" w:rsidP="00AB0667">
      <w:pPr>
        <w:pStyle w:val="Bullet1"/>
      </w:pPr>
      <w:r w:rsidRPr="003C72A7">
        <w:t>must have access to the PGD and associated online resources</w:t>
      </w:r>
      <w:r w:rsidR="00213513">
        <w:t>.</w:t>
      </w:r>
    </w:p>
    <w:p w14:paraId="48BBA8E3" w14:textId="32585691" w:rsidR="00AB0667" w:rsidRPr="003C72A7" w:rsidRDefault="00AB0667" w:rsidP="00AB0667">
      <w:pPr>
        <w:pStyle w:val="Bullet1"/>
      </w:pPr>
      <w:r w:rsidRPr="003C72A7">
        <w:t>should fulfil any additional requirements defined by local policy</w:t>
      </w:r>
      <w:r w:rsidR="00213513">
        <w:t>.</w:t>
      </w:r>
    </w:p>
    <w:p w14:paraId="624AD598" w14:textId="77777777" w:rsidR="009336EE" w:rsidRPr="00AB0667" w:rsidRDefault="009336EE" w:rsidP="00521F8B">
      <w:pPr>
        <w:pStyle w:val="NormalH3"/>
        <w:rPr>
          <w:rStyle w:val="Bold"/>
        </w:rPr>
      </w:pPr>
      <w:r w:rsidRPr="00521F8B">
        <w:rPr>
          <w:rStyle w:val="Bold"/>
          <w:rFonts w:cstheme="minorBidi"/>
          <w:b/>
        </w:rPr>
        <w:t>Employer</w:t>
      </w:r>
    </w:p>
    <w:p w14:paraId="6BF10CD8" w14:textId="77777777" w:rsidR="009336EE" w:rsidRPr="007C1BFD" w:rsidRDefault="009336EE" w:rsidP="004019B4">
      <w:r w:rsidRPr="007C1BFD">
        <w:t>The employer is responsible for ensuring that persons have the required knowledge and skills to safely deliver the activity they are employed to provide under this PGD</w:t>
      </w:r>
      <w:r>
        <w:t>.</w:t>
      </w:r>
    </w:p>
    <w:p w14:paraId="1986B880" w14:textId="77777777" w:rsidR="009336EE" w:rsidRPr="00A6610C" w:rsidRDefault="009336EE" w:rsidP="004019B4">
      <w:r w:rsidRPr="007C1BFD">
        <w:t>As a minimum, competence requirements stipulated in the PGD must be adhered to.</w:t>
      </w:r>
    </w:p>
    <w:p w14:paraId="6060CE0E" w14:textId="77777777" w:rsidR="00A6610C" w:rsidRDefault="00AB0667" w:rsidP="00AB0667">
      <w:pPr>
        <w:pStyle w:val="NormalH2"/>
      </w:pPr>
      <w:r>
        <w:t xml:space="preserve">4.3. </w:t>
      </w:r>
      <w:r w:rsidR="00A6610C" w:rsidRPr="00A6610C">
        <w:t>Continuing education and training</w:t>
      </w:r>
    </w:p>
    <w:p w14:paraId="7CCDDAD4" w14:textId="77777777" w:rsidR="00BD5ED4" w:rsidRDefault="009336EE" w:rsidP="00BD5ED4">
      <w:r w:rsidRPr="00D540D2">
        <w:t>All practitioners operating under the PGD are responsible for ensuring they re</w:t>
      </w:r>
      <w:r>
        <w:t>main up to date with the use of vaccines included</w:t>
      </w:r>
      <w:r w:rsidRPr="00D540D2">
        <w:t>. If any training needs are identified these should be discussed with the individuals in the organisation responsible for authorising individuals to act under this PGD.</w:t>
      </w:r>
    </w:p>
    <w:p w14:paraId="0050FEDD" w14:textId="77777777" w:rsidR="00BD5ED4" w:rsidRDefault="00BD5ED4">
      <w:r>
        <w:br w:type="page"/>
      </w:r>
    </w:p>
    <w:p w14:paraId="3E4E23E6" w14:textId="77777777" w:rsidR="007639B5" w:rsidRDefault="00AB0667" w:rsidP="00EC3EE6">
      <w:pPr>
        <w:pStyle w:val="NormalH1"/>
      </w:pPr>
      <w:bookmarkStart w:id="42" w:name="_Toc124848780"/>
      <w:r w:rsidRPr="00AB0667">
        <w:rPr>
          <w:bCs/>
        </w:rPr>
        <w:lastRenderedPageBreak/>
        <w:t>5.</w:t>
      </w:r>
      <w:r>
        <w:t xml:space="preserve"> </w:t>
      </w:r>
      <w:r w:rsidR="007639B5" w:rsidRPr="007639B5">
        <w:t>Audit trail</w:t>
      </w:r>
      <w:bookmarkEnd w:id="42"/>
    </w:p>
    <w:p w14:paraId="56C41090" w14:textId="77777777" w:rsidR="005F7211" w:rsidRPr="00AB0667" w:rsidRDefault="00A6610C" w:rsidP="004019B4">
      <w:pPr>
        <w:rPr>
          <w:rStyle w:val="Bold"/>
        </w:rPr>
      </w:pPr>
      <w:r w:rsidRPr="00AB0667">
        <w:rPr>
          <w:rStyle w:val="Bold"/>
        </w:rPr>
        <w:t>Record</w:t>
      </w:r>
      <w:r w:rsidR="00F053BB" w:rsidRPr="00AB0667">
        <w:rPr>
          <w:rStyle w:val="Bold"/>
        </w:rPr>
        <w:t xml:space="preserve"> the following information</w:t>
      </w:r>
      <w:r w:rsidR="00AB0667" w:rsidRPr="00AB0667">
        <w:rPr>
          <w:rStyle w:val="Bold"/>
        </w:rPr>
        <w:t>:</w:t>
      </w:r>
    </w:p>
    <w:p w14:paraId="3ABC3CA7" w14:textId="77777777" w:rsidR="00AB0667" w:rsidRPr="006F0E43" w:rsidRDefault="00AB0667" w:rsidP="00AB0667">
      <w:pPr>
        <w:pStyle w:val="Bullet1"/>
      </w:pPr>
      <w:r w:rsidRPr="006F0E43">
        <w:t>valid informed consent was given</w:t>
      </w:r>
    </w:p>
    <w:p w14:paraId="626FB26D" w14:textId="77777777" w:rsidR="00AB0667" w:rsidRPr="006F0E43" w:rsidRDefault="00AB0667" w:rsidP="00AB0667">
      <w:pPr>
        <w:pStyle w:val="Bullet1"/>
      </w:pPr>
      <w:r w:rsidRPr="006F0E43">
        <w:t>name of individual, address, date of birth and GP with whom the individual is registered if possible</w:t>
      </w:r>
    </w:p>
    <w:p w14:paraId="721CDEAE" w14:textId="77777777" w:rsidR="00AB0667" w:rsidRPr="006F0E43" w:rsidRDefault="00AB0667" w:rsidP="00AB0667">
      <w:pPr>
        <w:pStyle w:val="Bullet1"/>
      </w:pPr>
      <w:r w:rsidRPr="006F0E43">
        <w:t>name of person that undertook assessment of individual’s clinical suitability and subsequently administered the vaccine</w:t>
      </w:r>
    </w:p>
    <w:p w14:paraId="5897A64E" w14:textId="77777777" w:rsidR="00AB0667" w:rsidRPr="006F0E43" w:rsidRDefault="00AB0667" w:rsidP="00AB0667">
      <w:pPr>
        <w:pStyle w:val="Bullet1"/>
      </w:pPr>
      <w:r w:rsidRPr="006F0E43">
        <w:t>name and brand of vaccine</w:t>
      </w:r>
    </w:p>
    <w:p w14:paraId="4CD3EA28" w14:textId="77777777" w:rsidR="00AB0667" w:rsidRPr="006F0E43" w:rsidRDefault="00AB0667" w:rsidP="00AB0667">
      <w:pPr>
        <w:pStyle w:val="Bullet1"/>
      </w:pPr>
      <w:r w:rsidRPr="006F0E43">
        <w:t>date of administration</w:t>
      </w:r>
    </w:p>
    <w:p w14:paraId="78CAE8FA" w14:textId="77777777" w:rsidR="00AB0667" w:rsidRPr="006F0E43" w:rsidRDefault="00AB0667" w:rsidP="00AB0667">
      <w:pPr>
        <w:pStyle w:val="Bullet1"/>
      </w:pPr>
      <w:r w:rsidRPr="006F0E43">
        <w:t>dose, form and route of administration of vaccine</w:t>
      </w:r>
    </w:p>
    <w:p w14:paraId="1B58C6F8" w14:textId="77777777" w:rsidR="00AB0667" w:rsidRPr="006F0E43" w:rsidRDefault="00AB0667" w:rsidP="00AB0667">
      <w:pPr>
        <w:pStyle w:val="Bullet1"/>
      </w:pPr>
      <w:r w:rsidRPr="006F0E43">
        <w:t>batch number</w:t>
      </w:r>
    </w:p>
    <w:p w14:paraId="37D5CD38" w14:textId="77777777" w:rsidR="00AB0667" w:rsidRPr="006F0E43" w:rsidRDefault="00AB0667" w:rsidP="00AB0667">
      <w:pPr>
        <w:pStyle w:val="Bullet1"/>
      </w:pPr>
      <w:r w:rsidRPr="006F0E43">
        <w:t>where possible expiry date</w:t>
      </w:r>
    </w:p>
    <w:p w14:paraId="202EAEDE" w14:textId="77777777" w:rsidR="00AB0667" w:rsidRPr="006F0E43" w:rsidRDefault="00AB0667" w:rsidP="00AB0667">
      <w:pPr>
        <w:pStyle w:val="Bullet1"/>
      </w:pPr>
      <w:r w:rsidRPr="006F0E43">
        <w:t>anatomical site of vaccination</w:t>
      </w:r>
    </w:p>
    <w:p w14:paraId="39F7461A" w14:textId="77777777" w:rsidR="00AB0667" w:rsidRPr="006F0E43" w:rsidRDefault="00AB0667" w:rsidP="00AB0667">
      <w:pPr>
        <w:pStyle w:val="Bullet1"/>
      </w:pPr>
      <w:r w:rsidRPr="006F0E43">
        <w:t>advice given, including advice given if excluded or declines immunisation</w:t>
      </w:r>
    </w:p>
    <w:p w14:paraId="5E4929E9" w14:textId="77777777" w:rsidR="00AB0667" w:rsidRPr="006F0E43" w:rsidRDefault="00AB0667" w:rsidP="00AB0667">
      <w:pPr>
        <w:pStyle w:val="Bullet1"/>
      </w:pPr>
      <w:r w:rsidRPr="006F0E43">
        <w:t>details of any adverse drug reactions and actions taken</w:t>
      </w:r>
    </w:p>
    <w:p w14:paraId="37D9C103" w14:textId="77777777" w:rsidR="00AB0667" w:rsidRPr="006F0E43" w:rsidRDefault="00AB0667" w:rsidP="00AB0667">
      <w:pPr>
        <w:pStyle w:val="Bullet1"/>
      </w:pPr>
      <w:r w:rsidRPr="006F0E43">
        <w:t>administered under PGD</w:t>
      </w:r>
    </w:p>
    <w:p w14:paraId="37CE631C" w14:textId="639F6027" w:rsidR="00AB0667" w:rsidRPr="006F0E43" w:rsidRDefault="00213513" w:rsidP="00213513">
      <w:r>
        <w:t>R</w:t>
      </w:r>
      <w:r w:rsidR="00AB0667" w:rsidRPr="006F0E43">
        <w:t>ecords should be kept in line with local procedures</w:t>
      </w:r>
      <w:r w:rsidR="00DF106E">
        <w:t>.</w:t>
      </w:r>
    </w:p>
    <w:p w14:paraId="03BD0CE8" w14:textId="74389573" w:rsidR="00AB0667" w:rsidRPr="007C1BFD" w:rsidRDefault="00213513" w:rsidP="00213513">
      <w:r>
        <w:t>L</w:t>
      </w:r>
      <w:r w:rsidR="00AB0667" w:rsidRPr="006F0E43">
        <w:t>ocal policy should be followed to encourage information sharing with the individual’s General Practice</w:t>
      </w:r>
      <w:r w:rsidR="00DF106E">
        <w:t>.</w:t>
      </w:r>
    </w:p>
    <w:p w14:paraId="06A4CAB2" w14:textId="7E5933BF" w:rsidR="005F7211" w:rsidRPr="00A6610C" w:rsidRDefault="00AB0667" w:rsidP="00213513">
      <w:r w:rsidRPr="009D3CD6">
        <w:t xml:space="preserve">All records should be clear, legible and contemporaneous and in an easily </w:t>
      </w:r>
      <w:r w:rsidR="00521F8B">
        <w:br/>
      </w:r>
      <w:r w:rsidRPr="009D3CD6">
        <w:t>retrievable format.</w:t>
      </w:r>
    </w:p>
    <w:p w14:paraId="7B00BACB" w14:textId="77777777" w:rsidR="00814B11" w:rsidRDefault="00926771" w:rsidP="00926771">
      <w:pPr>
        <w:pStyle w:val="NormalH1"/>
      </w:pPr>
      <w:bookmarkStart w:id="43" w:name="_Toc124848781"/>
      <w:r>
        <w:lastRenderedPageBreak/>
        <w:t xml:space="preserve">6. </w:t>
      </w:r>
      <w:r w:rsidR="007639B5" w:rsidRPr="007639B5">
        <w:t>Additional references</w:t>
      </w:r>
      <w:bookmarkEnd w:id="43"/>
    </w:p>
    <w:p w14:paraId="660AFD6C" w14:textId="77777777" w:rsidR="00AB0667" w:rsidRPr="00BD67C2" w:rsidRDefault="00AB0667" w:rsidP="00AB0667">
      <w:r w:rsidRPr="00BD67C2">
        <w:t>Practitioners operating the PGD must be familiar with:</w:t>
      </w:r>
    </w:p>
    <w:p w14:paraId="2D9C47C7" w14:textId="77777777" w:rsidR="00ED293C" w:rsidRPr="00C033CB" w:rsidRDefault="00521F8B" w:rsidP="00ED293C">
      <w:pPr>
        <w:pStyle w:val="Bullet1"/>
        <w:rPr>
          <w:rStyle w:val="Hyperlink"/>
          <w:b w:val="0"/>
          <w:bCs w:val="0"/>
          <w:color w:val="262626" w:themeColor="text1" w:themeTint="D9"/>
        </w:rPr>
      </w:pPr>
      <w:hyperlink r:id="rId33" w:history="1">
        <w:r w:rsidR="00ED293C" w:rsidRPr="00BF57C2">
          <w:rPr>
            <w:rStyle w:val="Crossreference"/>
          </w:rPr>
          <w:t>Immunisation against Infectious Disease [Green Book]</w:t>
        </w:r>
      </w:hyperlink>
      <w:r w:rsidR="00ED293C" w:rsidRPr="00BF57C2">
        <w:fldChar w:fldCharType="begin"/>
      </w:r>
      <w:r w:rsidR="00ED293C" w:rsidRPr="00BF57C2">
        <w:instrText>HYPERLINK "https://www.gov.uk/government/publications/rotavirus-the-green-book-chapter-27b"</w:instrText>
      </w:r>
      <w:r w:rsidR="00ED293C" w:rsidRPr="00BF57C2">
        <w:fldChar w:fldCharType="separate"/>
      </w:r>
    </w:p>
    <w:p w14:paraId="5F7A6359" w14:textId="77777777" w:rsidR="00ED293C" w:rsidRDefault="00ED293C" w:rsidP="00ED293C">
      <w:pPr>
        <w:pStyle w:val="Bullet1"/>
      </w:pPr>
      <w:r w:rsidRPr="00BF57C2">
        <w:rPr>
          <w:rStyle w:val="Hyperlink"/>
        </w:rPr>
        <w:t>Immunisation against Infectious Disease [Green Book] chapter 27b</w:t>
      </w:r>
      <w:r w:rsidRPr="00BF57C2">
        <w:fldChar w:fldCharType="end"/>
      </w:r>
    </w:p>
    <w:p w14:paraId="610E959A" w14:textId="488CD5F4" w:rsidR="00C452E0" w:rsidRDefault="00521F8B" w:rsidP="00ED293C">
      <w:pPr>
        <w:pStyle w:val="Bullet1"/>
      </w:pPr>
      <w:hyperlink r:id="rId34" w:history="1">
        <w:r w:rsidR="00C452E0" w:rsidRPr="00C452E0">
          <w:rPr>
            <w:rStyle w:val="Hyperlink"/>
          </w:rPr>
          <w:t>Rotavirus vaccination programme: information for healthcare professionals (UKHSA)</w:t>
        </w:r>
      </w:hyperlink>
    </w:p>
    <w:p w14:paraId="7542472A" w14:textId="77777777" w:rsidR="00ED293C" w:rsidRDefault="00ED293C" w:rsidP="00ED293C">
      <w:pPr>
        <w:pStyle w:val="Bullet1"/>
      </w:pPr>
      <w:r w:rsidRPr="000054A3">
        <w:t>all relevant Scottish Government Health Directorate advice</w:t>
      </w:r>
      <w:r w:rsidRPr="00F82EBC">
        <w:t xml:space="preserve"> including the relevant CMO letter(s)</w:t>
      </w:r>
      <w:r>
        <w:t>.</w:t>
      </w:r>
    </w:p>
    <w:p w14:paraId="0AB0FD70" w14:textId="77777777" w:rsidR="00ED293C" w:rsidRPr="00F82EBC" w:rsidRDefault="00ED293C" w:rsidP="00ED293C">
      <w:pPr>
        <w:pStyle w:val="Bullet1"/>
      </w:pPr>
      <w:r w:rsidRPr="000054A3">
        <w:t>current edition of British National Formulary</w:t>
      </w:r>
      <w:r>
        <w:t>.</w:t>
      </w:r>
    </w:p>
    <w:p w14:paraId="42F769CF" w14:textId="77777777" w:rsidR="00ED293C" w:rsidRPr="00F82EBC" w:rsidRDefault="00ED293C" w:rsidP="00ED293C">
      <w:pPr>
        <w:pStyle w:val="Bullet1"/>
      </w:pPr>
      <w:r w:rsidRPr="000054A3">
        <w:t>marketing authorisation holder</w:t>
      </w:r>
      <w:r w:rsidRPr="00F82EBC">
        <w:t>s Summary of Product Characteristics</w:t>
      </w:r>
      <w:r>
        <w:t>.</w:t>
      </w:r>
    </w:p>
    <w:p w14:paraId="28A305EA" w14:textId="173A3AF8" w:rsidR="00ED293C" w:rsidRPr="00F82EBC" w:rsidRDefault="00521F8B" w:rsidP="00ED293C">
      <w:pPr>
        <w:pStyle w:val="Bullet1"/>
      </w:pPr>
      <w:hyperlink r:id="rId35" w:history="1">
        <w:r w:rsidR="00ED293C" w:rsidRPr="000F5574">
          <w:rPr>
            <w:rStyle w:val="Hyperlink"/>
          </w:rPr>
          <w:t>Professional Guidance on the Administration of Medicines in Healthcare settings 2019</w:t>
        </w:r>
      </w:hyperlink>
      <w:r w:rsidR="00ED293C">
        <w:t>.</w:t>
      </w:r>
      <w:r w:rsidR="00ED293C" w:rsidRPr="00F658CB">
        <w:t xml:space="preserve"> </w:t>
      </w:r>
    </w:p>
    <w:p w14:paraId="20CDD529" w14:textId="77777777" w:rsidR="00C452E0" w:rsidRDefault="00521F8B" w:rsidP="00ED293C">
      <w:pPr>
        <w:pStyle w:val="Bullet1"/>
      </w:pPr>
      <w:hyperlink r:id="rId36" w:history="1">
        <w:r w:rsidR="00ED293C" w:rsidRPr="005D0270">
          <w:rPr>
            <w:rStyle w:val="Hyperlink"/>
          </w:rPr>
          <w:t>Professional Guidance on the Safe and Secure Handling of Medicines</w:t>
        </w:r>
      </w:hyperlink>
      <w:r w:rsidR="00ED293C">
        <w:t>.</w:t>
      </w:r>
      <w:r w:rsidR="00ED293C" w:rsidRPr="00F658CB">
        <w:t xml:space="preserve"> </w:t>
      </w:r>
    </w:p>
    <w:p w14:paraId="1126A213" w14:textId="24E5D94B" w:rsidR="00ED293C" w:rsidRPr="005F7211" w:rsidRDefault="00ED293C" w:rsidP="00ED293C">
      <w:pPr>
        <w:pStyle w:val="Bullet1"/>
      </w:pPr>
      <w:r>
        <w:br w:type="page"/>
      </w:r>
    </w:p>
    <w:p w14:paraId="1113AD8A" w14:textId="43979480" w:rsidR="00AB0667" w:rsidRDefault="00AB0667" w:rsidP="00EC3EE6">
      <w:pPr>
        <w:pStyle w:val="NormalH1"/>
      </w:pPr>
      <w:r>
        <w:lastRenderedPageBreak/>
        <w:t xml:space="preserve">7. </w:t>
      </w:r>
      <w:bookmarkStart w:id="44" w:name="_Toc124848782"/>
      <w:r w:rsidR="007639B5" w:rsidRPr="007639B5">
        <w:t xml:space="preserve">PGD for administration </w:t>
      </w:r>
      <w:bookmarkEnd w:id="44"/>
      <w:r w:rsidRPr="007639B5">
        <w:t xml:space="preserve">of </w:t>
      </w:r>
      <w:r w:rsidR="00521F8B">
        <w:t>r</w:t>
      </w:r>
      <w:r w:rsidR="00AB379D">
        <w:t>otavirus vaccine, Live (Rotarix</w:t>
      </w:r>
      <w:r w:rsidR="00AB379D" w:rsidRPr="006A3179">
        <w:rPr>
          <w:vertAlign w:val="superscript"/>
        </w:rPr>
        <w:t>®</w:t>
      </w:r>
      <w:r w:rsidR="00AB379D">
        <w:t>)</w:t>
      </w:r>
      <w:r w:rsidR="00AB379D" w:rsidRPr="007639B5">
        <w:t xml:space="preserve"> </w:t>
      </w:r>
      <w:r w:rsidR="00AB379D">
        <w:t xml:space="preserve">Version </w:t>
      </w:r>
      <w:r w:rsidR="00C27911">
        <w:t>7</w:t>
      </w:r>
      <w:r w:rsidR="00AB379D">
        <w:t>.</w:t>
      </w:r>
      <w:r w:rsidR="0015102C">
        <w:t>1</w:t>
      </w:r>
      <w:r w:rsidR="00AB379D">
        <w:t xml:space="preserve"> (valid from </w:t>
      </w:r>
      <w:r w:rsidR="006A3179">
        <w:t>22</w:t>
      </w:r>
      <w:r w:rsidR="00AB379D">
        <w:t xml:space="preserve"> </w:t>
      </w:r>
      <w:r w:rsidR="0015102C">
        <w:t>Ju</w:t>
      </w:r>
      <w:r w:rsidR="00075DC6">
        <w:t>ly</w:t>
      </w:r>
      <w:r w:rsidR="0015102C">
        <w:t xml:space="preserve"> 2024</w:t>
      </w:r>
      <w:r w:rsidR="00BA5519">
        <w:t xml:space="preserve"> </w:t>
      </w:r>
      <w:r w:rsidR="00AB379D">
        <w:t xml:space="preserve">and expires </w:t>
      </w:r>
      <w:r w:rsidR="00075DC6">
        <w:t>28 February</w:t>
      </w:r>
      <w:r w:rsidR="00AB379D">
        <w:t xml:space="preserve"> 202</w:t>
      </w:r>
      <w:r w:rsidR="0015102C">
        <w:t>6</w:t>
      </w:r>
      <w:r w:rsidR="00AB379D">
        <w:t>): authorisation</w:t>
      </w:r>
    </w:p>
    <w:p w14:paraId="3AF5471F" w14:textId="77777777" w:rsidR="008F428A" w:rsidRDefault="008F428A" w:rsidP="00AB0667">
      <w:pPr>
        <w:pStyle w:val="NormalH2"/>
      </w:pPr>
      <w:r w:rsidRPr="008F428A">
        <w:t>Practitioner</w:t>
      </w:r>
    </w:p>
    <w:p w14:paraId="6EB64EBE" w14:textId="4A001338" w:rsidR="00E573E0" w:rsidRDefault="00E573E0" w:rsidP="00EF0DEA">
      <w:r w:rsidRPr="00B47942">
        <w:t xml:space="preserve">This PGD does not remove professional obligations and accountability. It is the responsibility of each professional to practice within the bounds of their own competence and in accordance with their Code of Professional Conduct and to ensure familiarity with the marketing authorisation holder’s </w:t>
      </w:r>
      <w:r w:rsidR="004F3DBA">
        <w:t>S</w:t>
      </w:r>
      <w:r w:rsidRPr="00B47942">
        <w:t xml:space="preserve">ummary of </w:t>
      </w:r>
      <w:r w:rsidR="004F3DBA">
        <w:t>P</w:t>
      </w:r>
      <w:r w:rsidRPr="00B47942">
        <w:t xml:space="preserve">roduct </w:t>
      </w:r>
      <w:r w:rsidR="004F3DBA">
        <w:t>C</w:t>
      </w:r>
      <w:r w:rsidRPr="00B47942">
        <w:t>haracteristics for all vaccines administered in accordance with this PGD.</w:t>
      </w:r>
    </w:p>
    <w:p w14:paraId="7A068523" w14:textId="77777777" w:rsidR="00AB379D" w:rsidRDefault="00E573E0" w:rsidP="00E573E0">
      <w:r w:rsidRPr="007209C7">
        <w:t>By signing this P</w:t>
      </w:r>
      <w:r>
        <w:t xml:space="preserve">atient </w:t>
      </w:r>
      <w:r w:rsidRPr="007209C7">
        <w:t>G</w:t>
      </w:r>
      <w:r>
        <w:t xml:space="preserve">roup </w:t>
      </w:r>
      <w:r w:rsidRPr="007209C7">
        <w:t>D</w:t>
      </w:r>
      <w:r>
        <w:t>irection</w:t>
      </w:r>
      <w:r w:rsidR="004C0891">
        <w:t>,</w:t>
      </w:r>
      <w:r w:rsidRPr="007209C7">
        <w:t xml:space="preserve"> you are indicating that you agree to its contents and that you will work within it.</w:t>
      </w:r>
      <w:r>
        <w:t xml:space="preserve"> </w:t>
      </w:r>
    </w:p>
    <w:p w14:paraId="62F7D119" w14:textId="2928CC44" w:rsidR="00E573E0" w:rsidRPr="00B47942" w:rsidRDefault="00E573E0" w:rsidP="00E573E0">
      <w:r w:rsidRPr="00B47942">
        <w:t>I agree to administer</w:t>
      </w:r>
      <w:r>
        <w:t xml:space="preserve"> </w:t>
      </w:r>
      <w:r w:rsidR="00326BC5" w:rsidRPr="00BF57C2">
        <w:rPr>
          <w:rStyle w:val="showPElogoEditorialuseonly"/>
        </w:rPr>
        <w:t>rotavirus vaccine (live)</w:t>
      </w:r>
      <w:r w:rsidR="00326BC5">
        <w:rPr>
          <w:rStyle w:val="showPElogoEditorialuseonly"/>
        </w:rPr>
        <w:t xml:space="preserve"> Rotarix</w:t>
      </w:r>
      <w:r w:rsidR="00326BC5" w:rsidRPr="006A3179">
        <w:rPr>
          <w:rStyle w:val="showPElogoEditorialuseonly"/>
          <w:vertAlign w:val="superscript"/>
        </w:rPr>
        <w:t>®</w:t>
      </w:r>
      <w:r w:rsidR="00326BC5" w:rsidRPr="00BF57C2">
        <w:rPr>
          <w:rStyle w:val="showPElogoEditorialuseonly"/>
        </w:rPr>
        <w:t xml:space="preserve"> </w:t>
      </w:r>
      <w:r w:rsidRPr="00B47942">
        <w:t xml:space="preserve">only in accordance with </w:t>
      </w:r>
      <w:r w:rsidR="00521F8B">
        <w:br/>
      </w:r>
      <w:r w:rsidRPr="00B47942">
        <w:t>this PGD.</w:t>
      </w:r>
    </w:p>
    <w:tbl>
      <w:tblPr>
        <w:tblStyle w:val="TableGrid"/>
        <w:tblW w:w="0" w:type="auto"/>
        <w:tblLook w:val="04A0" w:firstRow="1" w:lastRow="0" w:firstColumn="1" w:lastColumn="0" w:noHBand="0" w:noVBand="1"/>
      </w:tblPr>
      <w:tblGrid>
        <w:gridCol w:w="3560"/>
        <w:gridCol w:w="3392"/>
        <w:gridCol w:w="2108"/>
      </w:tblGrid>
      <w:tr w:rsidR="002A368C" w:rsidRPr="002A368C" w14:paraId="3AF9DB47" w14:textId="77777777" w:rsidTr="00A456A9">
        <w:trPr>
          <w:cnfStyle w:val="100000000000" w:firstRow="1" w:lastRow="0" w:firstColumn="0" w:lastColumn="0" w:oddVBand="0" w:evenVBand="0" w:oddHBand="0" w:evenHBand="0" w:firstRowFirstColumn="0" w:firstRowLastColumn="0" w:lastRowFirstColumn="0" w:lastRowLastColumn="0"/>
        </w:trPr>
        <w:tc>
          <w:tcPr>
            <w:tcW w:w="3560" w:type="dxa"/>
          </w:tcPr>
          <w:p w14:paraId="581D9282" w14:textId="77777777" w:rsidR="002A368C" w:rsidRPr="002A368C" w:rsidRDefault="002A368C" w:rsidP="002A368C">
            <w:pPr>
              <w:pStyle w:val="TableHead"/>
            </w:pPr>
            <w:r w:rsidRPr="002A368C">
              <w:t>Name of professional</w:t>
            </w:r>
          </w:p>
        </w:tc>
        <w:tc>
          <w:tcPr>
            <w:tcW w:w="3392" w:type="dxa"/>
          </w:tcPr>
          <w:p w14:paraId="018A6AAF" w14:textId="77777777" w:rsidR="002A368C" w:rsidRPr="002A368C" w:rsidRDefault="002A368C" w:rsidP="002A368C">
            <w:pPr>
              <w:pStyle w:val="TableHead"/>
            </w:pPr>
            <w:r w:rsidRPr="002A368C">
              <w:t>Signature</w:t>
            </w:r>
          </w:p>
        </w:tc>
        <w:tc>
          <w:tcPr>
            <w:tcW w:w="2108" w:type="dxa"/>
          </w:tcPr>
          <w:p w14:paraId="362B6CCE" w14:textId="77777777" w:rsidR="002A368C" w:rsidRPr="002A368C" w:rsidRDefault="002A368C" w:rsidP="002A368C">
            <w:pPr>
              <w:pStyle w:val="TableHead"/>
            </w:pPr>
            <w:r w:rsidRPr="002A368C">
              <w:t>Date</w:t>
            </w:r>
          </w:p>
        </w:tc>
      </w:tr>
      <w:tr w:rsidR="002A368C" w:rsidRPr="002A368C" w14:paraId="2D9567DF" w14:textId="77777777" w:rsidTr="00A456A9">
        <w:tblPrEx>
          <w:tblCellMar>
            <w:top w:w="0" w:type="dxa"/>
            <w:bottom w:w="0" w:type="dxa"/>
          </w:tblCellMar>
        </w:tblPrEx>
        <w:tc>
          <w:tcPr>
            <w:tcW w:w="3560" w:type="dxa"/>
          </w:tcPr>
          <w:p w14:paraId="1E5DF9D4" w14:textId="77777777" w:rsidR="002A368C" w:rsidRPr="002A368C" w:rsidRDefault="002A368C" w:rsidP="002A368C">
            <w:pPr>
              <w:pStyle w:val="TableBody"/>
            </w:pPr>
          </w:p>
        </w:tc>
        <w:tc>
          <w:tcPr>
            <w:tcW w:w="3392" w:type="dxa"/>
          </w:tcPr>
          <w:p w14:paraId="1645F4FD" w14:textId="77777777" w:rsidR="002A368C" w:rsidRPr="002A368C" w:rsidRDefault="002A368C" w:rsidP="002A368C">
            <w:pPr>
              <w:pStyle w:val="TableBody"/>
            </w:pPr>
          </w:p>
        </w:tc>
        <w:tc>
          <w:tcPr>
            <w:tcW w:w="2108" w:type="dxa"/>
          </w:tcPr>
          <w:p w14:paraId="14D43F84" w14:textId="77777777" w:rsidR="002A368C" w:rsidRPr="002A368C" w:rsidRDefault="002A368C" w:rsidP="002A368C">
            <w:pPr>
              <w:pStyle w:val="TableBody"/>
            </w:pPr>
          </w:p>
        </w:tc>
      </w:tr>
      <w:tr w:rsidR="008C552F" w:rsidRPr="002A368C" w14:paraId="082EA900" w14:textId="77777777" w:rsidTr="00A456A9">
        <w:tblPrEx>
          <w:tblCellMar>
            <w:top w:w="0" w:type="dxa"/>
            <w:bottom w:w="0" w:type="dxa"/>
          </w:tblCellMar>
        </w:tblPrEx>
        <w:tc>
          <w:tcPr>
            <w:tcW w:w="3560" w:type="dxa"/>
          </w:tcPr>
          <w:p w14:paraId="57BEA356" w14:textId="77777777" w:rsidR="008C552F" w:rsidRPr="002A368C" w:rsidRDefault="008C552F" w:rsidP="002A368C">
            <w:pPr>
              <w:pStyle w:val="TableBody"/>
            </w:pPr>
          </w:p>
        </w:tc>
        <w:tc>
          <w:tcPr>
            <w:tcW w:w="3392" w:type="dxa"/>
          </w:tcPr>
          <w:p w14:paraId="478D0577" w14:textId="77777777" w:rsidR="008C552F" w:rsidRPr="002A368C" w:rsidRDefault="008C552F" w:rsidP="002A368C">
            <w:pPr>
              <w:pStyle w:val="TableBody"/>
            </w:pPr>
          </w:p>
        </w:tc>
        <w:tc>
          <w:tcPr>
            <w:tcW w:w="2108" w:type="dxa"/>
          </w:tcPr>
          <w:p w14:paraId="08177D4D" w14:textId="77777777" w:rsidR="008C552F" w:rsidRPr="002A368C" w:rsidRDefault="008C552F" w:rsidP="002A368C">
            <w:pPr>
              <w:pStyle w:val="TableBody"/>
            </w:pPr>
          </w:p>
        </w:tc>
      </w:tr>
      <w:tr w:rsidR="008C552F" w:rsidRPr="002A368C" w14:paraId="449F1D98" w14:textId="77777777" w:rsidTr="00A456A9">
        <w:tblPrEx>
          <w:tblCellMar>
            <w:top w:w="0" w:type="dxa"/>
            <w:bottom w:w="0" w:type="dxa"/>
          </w:tblCellMar>
        </w:tblPrEx>
        <w:tc>
          <w:tcPr>
            <w:tcW w:w="3560" w:type="dxa"/>
          </w:tcPr>
          <w:p w14:paraId="0116170E" w14:textId="77777777" w:rsidR="008C552F" w:rsidRPr="002A368C" w:rsidRDefault="008C552F" w:rsidP="002A368C">
            <w:pPr>
              <w:pStyle w:val="TableBody"/>
            </w:pPr>
          </w:p>
        </w:tc>
        <w:tc>
          <w:tcPr>
            <w:tcW w:w="3392" w:type="dxa"/>
          </w:tcPr>
          <w:p w14:paraId="477F3473" w14:textId="77777777" w:rsidR="008C552F" w:rsidRPr="002A368C" w:rsidRDefault="008C552F" w:rsidP="002A368C">
            <w:pPr>
              <w:pStyle w:val="TableBody"/>
            </w:pPr>
          </w:p>
        </w:tc>
        <w:tc>
          <w:tcPr>
            <w:tcW w:w="2108" w:type="dxa"/>
          </w:tcPr>
          <w:p w14:paraId="760BFABD" w14:textId="77777777" w:rsidR="008C552F" w:rsidRPr="002A368C" w:rsidRDefault="008C552F" w:rsidP="002A368C">
            <w:pPr>
              <w:pStyle w:val="TableBody"/>
            </w:pPr>
          </w:p>
        </w:tc>
      </w:tr>
      <w:tr w:rsidR="008C552F" w:rsidRPr="002A368C" w14:paraId="73DD57BC" w14:textId="77777777" w:rsidTr="00A456A9">
        <w:tblPrEx>
          <w:tblCellMar>
            <w:top w:w="0" w:type="dxa"/>
            <w:bottom w:w="0" w:type="dxa"/>
          </w:tblCellMar>
        </w:tblPrEx>
        <w:tc>
          <w:tcPr>
            <w:tcW w:w="3560" w:type="dxa"/>
          </w:tcPr>
          <w:p w14:paraId="273F30A7" w14:textId="77777777" w:rsidR="008C552F" w:rsidRPr="002A368C" w:rsidRDefault="008C552F" w:rsidP="002A368C">
            <w:pPr>
              <w:pStyle w:val="TableBody"/>
            </w:pPr>
          </w:p>
        </w:tc>
        <w:tc>
          <w:tcPr>
            <w:tcW w:w="3392" w:type="dxa"/>
          </w:tcPr>
          <w:p w14:paraId="3E3A47BE" w14:textId="77777777" w:rsidR="008C552F" w:rsidRPr="002A368C" w:rsidRDefault="008C552F" w:rsidP="002A368C">
            <w:pPr>
              <w:pStyle w:val="TableBody"/>
            </w:pPr>
          </w:p>
        </w:tc>
        <w:tc>
          <w:tcPr>
            <w:tcW w:w="2108" w:type="dxa"/>
          </w:tcPr>
          <w:p w14:paraId="5CDF0C07" w14:textId="77777777" w:rsidR="008C552F" w:rsidRPr="002A368C" w:rsidRDefault="008C552F" w:rsidP="002A368C">
            <w:pPr>
              <w:pStyle w:val="TableBody"/>
            </w:pPr>
          </w:p>
        </w:tc>
      </w:tr>
      <w:tr w:rsidR="008C552F" w:rsidRPr="002A368C" w14:paraId="3A431CC3" w14:textId="77777777" w:rsidTr="00A456A9">
        <w:tblPrEx>
          <w:tblCellMar>
            <w:top w:w="0" w:type="dxa"/>
            <w:bottom w:w="0" w:type="dxa"/>
          </w:tblCellMar>
        </w:tblPrEx>
        <w:tc>
          <w:tcPr>
            <w:tcW w:w="3560" w:type="dxa"/>
          </w:tcPr>
          <w:p w14:paraId="0D7BB66B" w14:textId="77777777" w:rsidR="008C552F" w:rsidRPr="002A368C" w:rsidRDefault="008C552F" w:rsidP="002A368C">
            <w:pPr>
              <w:pStyle w:val="TableBody"/>
            </w:pPr>
          </w:p>
        </w:tc>
        <w:tc>
          <w:tcPr>
            <w:tcW w:w="3392" w:type="dxa"/>
          </w:tcPr>
          <w:p w14:paraId="5E11E8BB" w14:textId="77777777" w:rsidR="008C552F" w:rsidRPr="002A368C" w:rsidRDefault="008C552F" w:rsidP="002A368C">
            <w:pPr>
              <w:pStyle w:val="TableBody"/>
            </w:pPr>
          </w:p>
        </w:tc>
        <w:tc>
          <w:tcPr>
            <w:tcW w:w="2108" w:type="dxa"/>
          </w:tcPr>
          <w:p w14:paraId="701A412C" w14:textId="77777777" w:rsidR="008C552F" w:rsidRPr="002A368C" w:rsidRDefault="008C552F" w:rsidP="002A368C">
            <w:pPr>
              <w:pStyle w:val="TableBody"/>
            </w:pPr>
          </w:p>
        </w:tc>
      </w:tr>
      <w:tr w:rsidR="002A368C" w:rsidRPr="002A368C" w14:paraId="0C1318CD" w14:textId="77777777" w:rsidTr="00A456A9">
        <w:tblPrEx>
          <w:tblCellMar>
            <w:top w:w="0" w:type="dxa"/>
            <w:bottom w:w="0" w:type="dxa"/>
          </w:tblCellMar>
        </w:tblPrEx>
        <w:tc>
          <w:tcPr>
            <w:tcW w:w="3560" w:type="dxa"/>
          </w:tcPr>
          <w:p w14:paraId="3BB32E58" w14:textId="77777777" w:rsidR="002A368C" w:rsidRPr="002A368C" w:rsidRDefault="002A368C" w:rsidP="002A368C">
            <w:pPr>
              <w:pStyle w:val="TableBody"/>
            </w:pPr>
          </w:p>
        </w:tc>
        <w:tc>
          <w:tcPr>
            <w:tcW w:w="3392" w:type="dxa"/>
          </w:tcPr>
          <w:p w14:paraId="6405C713" w14:textId="77777777" w:rsidR="002A368C" w:rsidRPr="002A368C" w:rsidRDefault="002A368C" w:rsidP="002A368C">
            <w:pPr>
              <w:pStyle w:val="TableBody"/>
            </w:pPr>
          </w:p>
        </w:tc>
        <w:tc>
          <w:tcPr>
            <w:tcW w:w="2108" w:type="dxa"/>
          </w:tcPr>
          <w:p w14:paraId="4CB30D53" w14:textId="77777777" w:rsidR="002A368C" w:rsidRPr="002A368C" w:rsidRDefault="002A368C" w:rsidP="002A368C">
            <w:pPr>
              <w:pStyle w:val="TableBody"/>
            </w:pPr>
          </w:p>
        </w:tc>
      </w:tr>
      <w:tr w:rsidR="002A368C" w:rsidRPr="002A368C" w14:paraId="59A2C271" w14:textId="77777777" w:rsidTr="00A456A9">
        <w:tblPrEx>
          <w:tblCellMar>
            <w:top w:w="0" w:type="dxa"/>
            <w:bottom w:w="0" w:type="dxa"/>
          </w:tblCellMar>
        </w:tblPrEx>
        <w:tc>
          <w:tcPr>
            <w:tcW w:w="3560" w:type="dxa"/>
          </w:tcPr>
          <w:p w14:paraId="53AB1650" w14:textId="77777777" w:rsidR="002A368C" w:rsidRPr="002A368C" w:rsidRDefault="002A368C" w:rsidP="002A368C">
            <w:pPr>
              <w:pStyle w:val="TableBody"/>
            </w:pPr>
          </w:p>
        </w:tc>
        <w:tc>
          <w:tcPr>
            <w:tcW w:w="3392" w:type="dxa"/>
          </w:tcPr>
          <w:p w14:paraId="6583CA7C" w14:textId="77777777" w:rsidR="002A368C" w:rsidRPr="002A368C" w:rsidRDefault="002A368C" w:rsidP="002A368C">
            <w:pPr>
              <w:pStyle w:val="TableBody"/>
            </w:pPr>
          </w:p>
        </w:tc>
        <w:tc>
          <w:tcPr>
            <w:tcW w:w="2108" w:type="dxa"/>
          </w:tcPr>
          <w:p w14:paraId="0BFBE592" w14:textId="77777777" w:rsidR="002A368C" w:rsidRPr="002A368C" w:rsidRDefault="002A368C" w:rsidP="002A368C">
            <w:pPr>
              <w:pStyle w:val="TableBody"/>
            </w:pPr>
          </w:p>
        </w:tc>
      </w:tr>
      <w:tr w:rsidR="002A368C" w:rsidRPr="002A368C" w14:paraId="0E6D2D57" w14:textId="77777777" w:rsidTr="00A456A9">
        <w:tblPrEx>
          <w:tblCellMar>
            <w:top w:w="0" w:type="dxa"/>
            <w:bottom w:w="0" w:type="dxa"/>
          </w:tblCellMar>
        </w:tblPrEx>
        <w:tc>
          <w:tcPr>
            <w:tcW w:w="3560" w:type="dxa"/>
          </w:tcPr>
          <w:p w14:paraId="540A4FED" w14:textId="77777777" w:rsidR="002A368C" w:rsidRPr="002A368C" w:rsidRDefault="002A368C" w:rsidP="002A368C">
            <w:pPr>
              <w:pStyle w:val="TableBody"/>
            </w:pPr>
          </w:p>
        </w:tc>
        <w:tc>
          <w:tcPr>
            <w:tcW w:w="3392" w:type="dxa"/>
          </w:tcPr>
          <w:p w14:paraId="2AA92000" w14:textId="77777777" w:rsidR="002A368C" w:rsidRPr="002A368C" w:rsidRDefault="002A368C" w:rsidP="002A368C">
            <w:pPr>
              <w:pStyle w:val="TableBody"/>
            </w:pPr>
          </w:p>
        </w:tc>
        <w:tc>
          <w:tcPr>
            <w:tcW w:w="2108" w:type="dxa"/>
          </w:tcPr>
          <w:p w14:paraId="353D5EDE" w14:textId="77777777" w:rsidR="002A368C" w:rsidRPr="002A368C" w:rsidRDefault="002A368C" w:rsidP="002A368C">
            <w:pPr>
              <w:pStyle w:val="TableBody"/>
            </w:pPr>
          </w:p>
        </w:tc>
      </w:tr>
      <w:tr w:rsidR="00A2561E" w:rsidRPr="002A368C" w14:paraId="64138EBA" w14:textId="77777777" w:rsidTr="00A456A9">
        <w:tblPrEx>
          <w:tblCellMar>
            <w:top w:w="0" w:type="dxa"/>
            <w:bottom w:w="0" w:type="dxa"/>
          </w:tblCellMar>
        </w:tblPrEx>
        <w:tc>
          <w:tcPr>
            <w:tcW w:w="3560" w:type="dxa"/>
          </w:tcPr>
          <w:p w14:paraId="0D71090C" w14:textId="77777777" w:rsidR="00A2561E" w:rsidRPr="002A368C" w:rsidRDefault="00A2561E" w:rsidP="002A368C">
            <w:pPr>
              <w:pStyle w:val="TableBody"/>
            </w:pPr>
          </w:p>
        </w:tc>
        <w:tc>
          <w:tcPr>
            <w:tcW w:w="3392" w:type="dxa"/>
          </w:tcPr>
          <w:p w14:paraId="4474CBCE" w14:textId="77777777" w:rsidR="00A2561E" w:rsidRPr="002A368C" w:rsidRDefault="00A2561E" w:rsidP="002A368C">
            <w:pPr>
              <w:pStyle w:val="TableBody"/>
            </w:pPr>
          </w:p>
        </w:tc>
        <w:tc>
          <w:tcPr>
            <w:tcW w:w="2108" w:type="dxa"/>
          </w:tcPr>
          <w:p w14:paraId="4FBB6B63" w14:textId="77777777" w:rsidR="00A2561E" w:rsidRPr="002A368C" w:rsidRDefault="00A2561E" w:rsidP="002A368C">
            <w:pPr>
              <w:pStyle w:val="TableBody"/>
            </w:pPr>
          </w:p>
        </w:tc>
      </w:tr>
      <w:tr w:rsidR="00A2561E" w:rsidRPr="002A368C" w14:paraId="3CDFEF95" w14:textId="77777777" w:rsidTr="00A456A9">
        <w:tblPrEx>
          <w:tblCellMar>
            <w:top w:w="0" w:type="dxa"/>
            <w:bottom w:w="0" w:type="dxa"/>
          </w:tblCellMar>
        </w:tblPrEx>
        <w:tc>
          <w:tcPr>
            <w:tcW w:w="3560" w:type="dxa"/>
          </w:tcPr>
          <w:p w14:paraId="5D5766A3" w14:textId="77777777" w:rsidR="00A2561E" w:rsidRPr="002A368C" w:rsidRDefault="00A2561E" w:rsidP="002A368C">
            <w:pPr>
              <w:pStyle w:val="TableBody"/>
            </w:pPr>
          </w:p>
        </w:tc>
        <w:tc>
          <w:tcPr>
            <w:tcW w:w="3392" w:type="dxa"/>
          </w:tcPr>
          <w:p w14:paraId="7D0958B9" w14:textId="77777777" w:rsidR="00A2561E" w:rsidRPr="002A368C" w:rsidRDefault="00A2561E" w:rsidP="002A368C">
            <w:pPr>
              <w:pStyle w:val="TableBody"/>
            </w:pPr>
          </w:p>
        </w:tc>
        <w:tc>
          <w:tcPr>
            <w:tcW w:w="2108" w:type="dxa"/>
          </w:tcPr>
          <w:p w14:paraId="6A9DA56B" w14:textId="77777777" w:rsidR="00A2561E" w:rsidRPr="002A368C" w:rsidRDefault="00A2561E" w:rsidP="002A368C">
            <w:pPr>
              <w:pStyle w:val="TableBody"/>
            </w:pPr>
          </w:p>
        </w:tc>
      </w:tr>
      <w:tr w:rsidR="00A2561E" w:rsidRPr="002A368C" w14:paraId="64BA356B" w14:textId="77777777" w:rsidTr="00A456A9">
        <w:tblPrEx>
          <w:tblCellMar>
            <w:top w:w="0" w:type="dxa"/>
            <w:bottom w:w="0" w:type="dxa"/>
          </w:tblCellMar>
        </w:tblPrEx>
        <w:tc>
          <w:tcPr>
            <w:tcW w:w="3560" w:type="dxa"/>
          </w:tcPr>
          <w:p w14:paraId="75F70EAD" w14:textId="77777777" w:rsidR="00A2561E" w:rsidRPr="002A368C" w:rsidRDefault="00A2561E" w:rsidP="002A368C">
            <w:pPr>
              <w:pStyle w:val="TableBody"/>
            </w:pPr>
          </w:p>
        </w:tc>
        <w:tc>
          <w:tcPr>
            <w:tcW w:w="3392" w:type="dxa"/>
          </w:tcPr>
          <w:p w14:paraId="21FB041A" w14:textId="77777777" w:rsidR="00A2561E" w:rsidRPr="002A368C" w:rsidRDefault="00A2561E" w:rsidP="002A368C">
            <w:pPr>
              <w:pStyle w:val="TableBody"/>
            </w:pPr>
          </w:p>
        </w:tc>
        <w:tc>
          <w:tcPr>
            <w:tcW w:w="2108" w:type="dxa"/>
          </w:tcPr>
          <w:p w14:paraId="35D919A9" w14:textId="77777777" w:rsidR="00A2561E" w:rsidRPr="002A368C" w:rsidRDefault="00A2561E" w:rsidP="002A368C">
            <w:pPr>
              <w:pStyle w:val="TableBody"/>
            </w:pPr>
          </w:p>
        </w:tc>
      </w:tr>
    </w:tbl>
    <w:p w14:paraId="74211CD1" w14:textId="77777777" w:rsidR="0081598D" w:rsidRDefault="0081598D" w:rsidP="00AB0667">
      <w:pPr>
        <w:pStyle w:val="NormalH1"/>
      </w:pPr>
    </w:p>
    <w:p w14:paraId="5A23E5B1" w14:textId="73F75FBF" w:rsidR="00A456A9" w:rsidRPr="00A456A9" w:rsidRDefault="00A456A9" w:rsidP="00521F8B">
      <w:pPr>
        <w:pStyle w:val="NormalH2"/>
      </w:pPr>
      <w:r w:rsidRPr="00A456A9">
        <w:lastRenderedPageBreak/>
        <w:t xml:space="preserve">Authorising </w:t>
      </w:r>
      <w:r w:rsidR="00CD476F">
        <w:t>m</w:t>
      </w:r>
      <w:r w:rsidRPr="00A456A9">
        <w:t>anager</w:t>
      </w:r>
    </w:p>
    <w:p w14:paraId="2E2F9E7A" w14:textId="77777777" w:rsidR="00A456A9" w:rsidRPr="00A456A9" w:rsidRDefault="00A456A9" w:rsidP="00A456A9">
      <w:r w:rsidRPr="00A456A9">
        <w:t xml:space="preserve">I confirm that the practitioners named above have declared themselves suitably trained and competent to work under this PGD. I give authorisation on behalf of </w:t>
      </w:r>
      <w:r w:rsidRPr="00A456A9">
        <w:rPr>
          <w:rStyle w:val="Bold"/>
        </w:rPr>
        <w:t>[insert name of organisation]</w:t>
      </w:r>
      <w:r w:rsidRPr="00A456A9">
        <w:t xml:space="preserve"> for the </w:t>
      </w:r>
      <w:r w:rsidR="005F7590" w:rsidRPr="00A456A9">
        <w:t>above-named</w:t>
      </w:r>
      <w:r w:rsidRPr="00A456A9">
        <w:t xml:space="preserve"> health care professionals who have signed the PGD to work under it.</w:t>
      </w:r>
    </w:p>
    <w:p w14:paraId="73DF8CBA" w14:textId="77777777" w:rsidR="00A456A9" w:rsidRPr="00A456A9" w:rsidRDefault="00A456A9" w:rsidP="00A456A9">
      <w:r w:rsidRPr="00A456A9">
        <w:t>Lead clinician for the service area</w:t>
      </w:r>
      <w:r w:rsidR="00A2561E">
        <w:t>:</w:t>
      </w:r>
    </w:p>
    <w:p w14:paraId="6226B6AD" w14:textId="77777777" w:rsidR="00176180" w:rsidRDefault="00A456A9" w:rsidP="00A456A9">
      <w:r w:rsidRPr="00A456A9">
        <w:t>Name …………………………………………………</w:t>
      </w:r>
      <w:r w:rsidR="00615813" w:rsidRPr="00A456A9">
        <w:t>….</w:t>
      </w:r>
    </w:p>
    <w:p w14:paraId="023AF57A" w14:textId="77777777" w:rsidR="00176180" w:rsidRDefault="00A456A9" w:rsidP="00A456A9">
      <w:r w:rsidRPr="00A456A9">
        <w:t>Signature ……………………………………………</w:t>
      </w:r>
      <w:proofErr w:type="gramStart"/>
      <w:r w:rsidRPr="00A456A9">
        <w:t>…..</w:t>
      </w:r>
      <w:proofErr w:type="gramEnd"/>
    </w:p>
    <w:p w14:paraId="2AE7E8A4" w14:textId="77777777" w:rsidR="00A456A9" w:rsidRPr="00A456A9" w:rsidRDefault="00A456A9" w:rsidP="00A456A9">
      <w:r w:rsidRPr="00A456A9">
        <w:t>Date ………………………………………………………</w:t>
      </w:r>
    </w:p>
    <w:p w14:paraId="1DD4B293" w14:textId="77777777" w:rsidR="00615813" w:rsidRDefault="00A456A9" w:rsidP="00A456A9">
      <w:r w:rsidRPr="00A456A9">
        <w:t xml:space="preserve">Authorised staff should be provided with an individual copy of the clinical content of the PGD and a photocopy of the document showing their authorisation. </w:t>
      </w:r>
    </w:p>
    <w:p w14:paraId="03D37777" w14:textId="77777777" w:rsidR="0024328C" w:rsidRDefault="00A456A9" w:rsidP="008B26EB">
      <w:r w:rsidRPr="00A456A9">
        <w:t>This authorisation sheet should be retained to serve as a record of those practitioners authorised to work under this PGD.</w:t>
      </w:r>
    </w:p>
    <w:p w14:paraId="629ABD56" w14:textId="77777777" w:rsidR="0024328C" w:rsidRDefault="0024328C">
      <w:r>
        <w:br w:type="page"/>
      </w:r>
    </w:p>
    <w:p w14:paraId="655E736B" w14:textId="77777777" w:rsidR="008F428A" w:rsidRDefault="00AB0667" w:rsidP="00EC3EE6">
      <w:pPr>
        <w:pStyle w:val="NormalH1"/>
      </w:pPr>
      <w:bookmarkStart w:id="45" w:name="_Toc124848783"/>
      <w:r w:rsidRPr="00AB0667">
        <w:rPr>
          <w:bCs/>
        </w:rPr>
        <w:lastRenderedPageBreak/>
        <w:t>8.</w:t>
      </w:r>
      <w:r>
        <w:t xml:space="preserve"> </w:t>
      </w:r>
      <w:r w:rsidR="0024328C">
        <w:t xml:space="preserve">Version </w:t>
      </w:r>
      <w:r>
        <w:t>h</w:t>
      </w:r>
      <w:r w:rsidR="0024328C">
        <w:t>istory</w:t>
      </w:r>
      <w:bookmarkEnd w:id="45"/>
    </w:p>
    <w:tbl>
      <w:tblPr>
        <w:tblStyle w:val="TableGrid"/>
        <w:tblW w:w="9773" w:type="dxa"/>
        <w:tblLayout w:type="fixed"/>
        <w:tblLook w:val="0620" w:firstRow="1" w:lastRow="0" w:firstColumn="0" w:lastColumn="0" w:noHBand="1" w:noVBand="1"/>
      </w:tblPr>
      <w:tblGrid>
        <w:gridCol w:w="1129"/>
        <w:gridCol w:w="2835"/>
        <w:gridCol w:w="5809"/>
      </w:tblGrid>
      <w:tr w:rsidR="00814B11" w14:paraId="3E70B865" w14:textId="77777777" w:rsidTr="004305AB">
        <w:trPr>
          <w:cnfStyle w:val="100000000000" w:firstRow="1" w:lastRow="0" w:firstColumn="0" w:lastColumn="0" w:oddVBand="0" w:evenVBand="0" w:oddHBand="0" w:evenHBand="0" w:firstRowFirstColumn="0" w:firstRowLastColumn="0" w:lastRowFirstColumn="0" w:lastRowLastColumn="0"/>
          <w:cantSplit/>
          <w:trHeight w:val="397"/>
        </w:trPr>
        <w:tc>
          <w:tcPr>
            <w:tcW w:w="1129" w:type="dxa"/>
          </w:tcPr>
          <w:p w14:paraId="737EAE47" w14:textId="77777777" w:rsidR="00814B11" w:rsidRPr="00DA3DEC" w:rsidRDefault="00814B11" w:rsidP="00D202E2">
            <w:pPr>
              <w:pStyle w:val="TableHead"/>
            </w:pPr>
            <w:r>
              <w:t>Version</w:t>
            </w:r>
          </w:p>
        </w:tc>
        <w:tc>
          <w:tcPr>
            <w:tcW w:w="2835" w:type="dxa"/>
          </w:tcPr>
          <w:p w14:paraId="5DF0D4E6" w14:textId="77777777" w:rsidR="00814B11" w:rsidRPr="00DA3DEC" w:rsidRDefault="00814B11" w:rsidP="00D202E2">
            <w:pPr>
              <w:pStyle w:val="TableHead"/>
            </w:pPr>
            <w:r>
              <w:t>Date</w:t>
            </w:r>
          </w:p>
        </w:tc>
        <w:tc>
          <w:tcPr>
            <w:tcW w:w="5809" w:type="dxa"/>
          </w:tcPr>
          <w:p w14:paraId="7B24662D" w14:textId="77777777" w:rsidR="00814B11" w:rsidRPr="00DA3DEC" w:rsidRDefault="00814B11" w:rsidP="00D202E2">
            <w:pPr>
              <w:pStyle w:val="TableHead"/>
            </w:pPr>
            <w:r>
              <w:t>Summary of changes</w:t>
            </w:r>
          </w:p>
        </w:tc>
      </w:tr>
      <w:tr w:rsidR="000947D5" w14:paraId="68041FA4" w14:textId="77777777" w:rsidTr="004305AB">
        <w:tblPrEx>
          <w:tblLook w:val="04A0" w:firstRow="1" w:lastRow="0" w:firstColumn="1" w:lastColumn="0" w:noHBand="0" w:noVBand="1"/>
        </w:tblPrEx>
        <w:trPr>
          <w:trHeight w:val="397"/>
        </w:trPr>
        <w:tc>
          <w:tcPr>
            <w:tcW w:w="1129" w:type="dxa"/>
          </w:tcPr>
          <w:p w14:paraId="05EA5612" w14:textId="77777777" w:rsidR="000947D5" w:rsidRPr="00D72605" w:rsidRDefault="000947D5" w:rsidP="00AB7FD6">
            <w:pPr>
              <w:pStyle w:val="TableBody"/>
            </w:pPr>
            <w:r w:rsidRPr="00D72605">
              <w:t>5.0</w:t>
            </w:r>
          </w:p>
        </w:tc>
        <w:tc>
          <w:tcPr>
            <w:tcW w:w="2835" w:type="dxa"/>
          </w:tcPr>
          <w:p w14:paraId="09F4A345" w14:textId="1315C63A" w:rsidR="000947D5" w:rsidRPr="00D72605" w:rsidRDefault="000947D5" w:rsidP="00AB7FD6">
            <w:pPr>
              <w:pStyle w:val="TableBody"/>
            </w:pPr>
            <w:r w:rsidRPr="00D72605">
              <w:t>Apr</w:t>
            </w:r>
            <w:r>
              <w:t>il</w:t>
            </w:r>
            <w:r w:rsidRPr="00D72605">
              <w:t xml:space="preserve"> 2019</w:t>
            </w:r>
          </w:p>
        </w:tc>
        <w:tc>
          <w:tcPr>
            <w:tcW w:w="5809" w:type="dxa"/>
          </w:tcPr>
          <w:p w14:paraId="0928406C" w14:textId="67427583" w:rsidR="000947D5" w:rsidRPr="00D72605" w:rsidRDefault="000947D5" w:rsidP="00AB7FD6">
            <w:pPr>
              <w:pStyle w:val="Tablebullet1"/>
            </w:pPr>
            <w:r w:rsidRPr="00D72605">
              <w:t>Action if excluded section updated with information for those aged under six weeks</w:t>
            </w:r>
            <w:r w:rsidR="009A4276">
              <w:t>.</w:t>
            </w:r>
          </w:p>
          <w:p w14:paraId="683C251B" w14:textId="77777777" w:rsidR="000947D5" w:rsidRPr="00D72605" w:rsidRDefault="000947D5" w:rsidP="00AB7FD6">
            <w:pPr>
              <w:pStyle w:val="Tablebullet1"/>
            </w:pPr>
            <w:r w:rsidRPr="00D72605">
              <w:t xml:space="preserve">Frequency section updated to state that first dose can be given from 6 weeks and that the second dose may be given up to a week early when required if primary immunisation </w:t>
            </w:r>
            <w:proofErr w:type="gramStart"/>
            <w:r w:rsidRPr="00D72605">
              <w:t>are</w:t>
            </w:r>
            <w:proofErr w:type="gramEnd"/>
            <w:r w:rsidRPr="00D72605">
              <w:t xml:space="preserve"> being given before the scheduled date e.g. due to impending travel to an endemic country.</w:t>
            </w:r>
          </w:p>
          <w:p w14:paraId="66686DA6" w14:textId="77777777" w:rsidR="000947D5" w:rsidRPr="00D72605" w:rsidRDefault="000947D5" w:rsidP="00AB7FD6">
            <w:pPr>
              <w:pStyle w:val="Tablebullet1"/>
            </w:pPr>
            <w:r w:rsidRPr="00D72605">
              <w:t>Use out with S</w:t>
            </w:r>
            <w:r>
              <w:t>m</w:t>
            </w:r>
            <w:r w:rsidRPr="00D72605">
              <w:t>PC section updated to recommend assessment following inadvertent or unavoidable deviation from recommended storage conditions.</w:t>
            </w:r>
          </w:p>
          <w:p w14:paraId="4F436846" w14:textId="77777777" w:rsidR="000947D5" w:rsidRPr="00D72605" w:rsidRDefault="000947D5" w:rsidP="00AB7FD6">
            <w:pPr>
              <w:pStyle w:val="Tablebullet1"/>
            </w:pPr>
            <w:r w:rsidRPr="00D72605">
              <w:t>Storage section updated to include additional information on action required following inadvertent or unavoidable deviation from recommended storage conditions.</w:t>
            </w:r>
          </w:p>
        </w:tc>
      </w:tr>
      <w:tr w:rsidR="000947D5" w14:paraId="0BD28C6F" w14:textId="77777777" w:rsidTr="004305AB">
        <w:tblPrEx>
          <w:tblLook w:val="04A0" w:firstRow="1" w:lastRow="0" w:firstColumn="1" w:lastColumn="0" w:noHBand="0" w:noVBand="1"/>
        </w:tblPrEx>
        <w:trPr>
          <w:trHeight w:val="397"/>
        </w:trPr>
        <w:tc>
          <w:tcPr>
            <w:tcW w:w="1129" w:type="dxa"/>
          </w:tcPr>
          <w:p w14:paraId="013ECB19" w14:textId="77777777" w:rsidR="000947D5" w:rsidRPr="00D72605" w:rsidRDefault="000947D5" w:rsidP="00AB7FD6">
            <w:pPr>
              <w:pStyle w:val="TableBody"/>
            </w:pPr>
            <w:r w:rsidRPr="00D72605">
              <w:t>6.0</w:t>
            </w:r>
          </w:p>
        </w:tc>
        <w:tc>
          <w:tcPr>
            <w:tcW w:w="2835" w:type="dxa"/>
          </w:tcPr>
          <w:p w14:paraId="61021C80" w14:textId="77777777" w:rsidR="000947D5" w:rsidRPr="00D72605" w:rsidRDefault="000947D5" w:rsidP="00AB7FD6">
            <w:pPr>
              <w:pStyle w:val="TableBody"/>
            </w:pPr>
            <w:r>
              <w:t>1 September 2021</w:t>
            </w:r>
          </w:p>
        </w:tc>
        <w:tc>
          <w:tcPr>
            <w:tcW w:w="5809" w:type="dxa"/>
          </w:tcPr>
          <w:p w14:paraId="290C50F7" w14:textId="77777777" w:rsidR="000947D5" w:rsidRPr="00B0259D" w:rsidRDefault="000947D5" w:rsidP="00AB7FD6">
            <w:pPr>
              <w:pStyle w:val="TableBody"/>
            </w:pPr>
            <w:r w:rsidRPr="00B0259D">
              <w:t>This PGD has undergone minor rewording, layout, formatting changes for clarity and consistency with other PHS national specimen PGDs.</w:t>
            </w:r>
          </w:p>
          <w:p w14:paraId="588AD956" w14:textId="77777777" w:rsidR="000947D5" w:rsidRPr="008C360C" w:rsidRDefault="000947D5" w:rsidP="00AB7FD6">
            <w:pPr>
              <w:pStyle w:val="TableBody"/>
            </w:pPr>
            <w:r w:rsidRPr="008C360C">
              <w:t>The following sections have been updated:</w:t>
            </w:r>
          </w:p>
          <w:p w14:paraId="61C0AEA1" w14:textId="77777777" w:rsidR="000947D5" w:rsidRPr="00B0259D" w:rsidRDefault="000947D5" w:rsidP="00AB7FD6">
            <w:pPr>
              <w:pStyle w:val="Tablebullet1"/>
            </w:pPr>
            <w:r w:rsidRPr="00B0259D">
              <w:t>Exclusion section updated with additional text on those on systemic (oral or injectable) immunosuppressive treatment.</w:t>
            </w:r>
          </w:p>
          <w:p w14:paraId="37F83007" w14:textId="77777777" w:rsidR="000947D5" w:rsidRPr="00B0259D" w:rsidRDefault="000947D5" w:rsidP="00AB7FD6">
            <w:pPr>
              <w:pStyle w:val="Tablebullet1"/>
            </w:pPr>
            <w:r w:rsidRPr="00B0259D">
              <w:t>Form/strength section updated to include all available forms of rotavirus vaccine.</w:t>
            </w:r>
          </w:p>
          <w:p w14:paraId="475758B4" w14:textId="77777777" w:rsidR="000947D5" w:rsidRPr="00B0259D" w:rsidRDefault="000947D5" w:rsidP="00AB7FD6">
            <w:pPr>
              <w:pStyle w:val="Tablebullet1"/>
            </w:pPr>
            <w:r w:rsidRPr="00B0259D">
              <w:t>Warning section updated to include advise from Green Book on risk of intussusception.</w:t>
            </w:r>
          </w:p>
          <w:p w14:paraId="7CF2DB43" w14:textId="77777777" w:rsidR="000947D5" w:rsidRPr="00027DAB" w:rsidRDefault="000947D5" w:rsidP="00AB7FD6">
            <w:pPr>
              <w:pStyle w:val="Tablebullet1"/>
            </w:pPr>
            <w:r w:rsidRPr="00027DAB">
              <w:t>Advice to patient/carer section updated to include advice to promptly report symptoms indicative of intussusception.</w:t>
            </w:r>
          </w:p>
        </w:tc>
      </w:tr>
      <w:tr w:rsidR="00C27911" w14:paraId="195022DB" w14:textId="77777777" w:rsidTr="004305AB">
        <w:tblPrEx>
          <w:tblLook w:val="04A0" w:firstRow="1" w:lastRow="0" w:firstColumn="1" w:lastColumn="0" w:noHBand="0" w:noVBand="1"/>
        </w:tblPrEx>
        <w:trPr>
          <w:trHeight w:val="397"/>
        </w:trPr>
        <w:tc>
          <w:tcPr>
            <w:tcW w:w="1129" w:type="dxa"/>
          </w:tcPr>
          <w:p w14:paraId="113FC900" w14:textId="0150C07B" w:rsidR="00C27911" w:rsidRPr="00D72605" w:rsidRDefault="00C27911" w:rsidP="00AB7FD6">
            <w:pPr>
              <w:pStyle w:val="TableBody"/>
            </w:pPr>
            <w:r>
              <w:t>7.0</w:t>
            </w:r>
          </w:p>
        </w:tc>
        <w:tc>
          <w:tcPr>
            <w:tcW w:w="2835" w:type="dxa"/>
          </w:tcPr>
          <w:p w14:paraId="570EC091" w14:textId="28CA3348" w:rsidR="00C27911" w:rsidRDefault="00C27911" w:rsidP="00AB7FD6">
            <w:pPr>
              <w:pStyle w:val="TableBody"/>
            </w:pPr>
            <w:r w:rsidRPr="00C27911">
              <w:t>1 September 202</w:t>
            </w:r>
            <w:r w:rsidR="00E45912">
              <w:t>3</w:t>
            </w:r>
          </w:p>
        </w:tc>
        <w:tc>
          <w:tcPr>
            <w:tcW w:w="5809" w:type="dxa"/>
          </w:tcPr>
          <w:p w14:paraId="24E0780B" w14:textId="77777777" w:rsidR="004737D6" w:rsidRPr="004737D6" w:rsidRDefault="004737D6" w:rsidP="004737D6">
            <w:pPr>
              <w:pStyle w:val="TableBody"/>
            </w:pPr>
            <w:r w:rsidRPr="004737D6">
              <w:t>Version 7.0 produced after expiry of version 6.0</w:t>
            </w:r>
          </w:p>
          <w:p w14:paraId="187CD236" w14:textId="627CC3E3" w:rsidR="004737D6" w:rsidRPr="004737D6" w:rsidRDefault="004737D6" w:rsidP="004737D6">
            <w:pPr>
              <w:pStyle w:val="TableBody"/>
            </w:pPr>
            <w:r w:rsidRPr="004737D6">
              <w:t>This PGD has undergone minor rewording, layout, formatting changes for clarity and consistency with other PHS national specimen PGDs.</w:t>
            </w:r>
          </w:p>
          <w:p w14:paraId="6BFE6406" w14:textId="74CC8739" w:rsidR="00C27911" w:rsidRPr="00B0259D" w:rsidRDefault="004737D6" w:rsidP="00972EC2">
            <w:pPr>
              <w:pStyle w:val="Tablebullet1"/>
            </w:pPr>
            <w:r w:rsidRPr="004737D6">
              <w:lastRenderedPageBreak/>
              <w:t>Section 2.12 updated to include potential for transmission of the live attenuated virus strain from the immunised infant to severely immunocompromised contacts.</w:t>
            </w:r>
          </w:p>
        </w:tc>
      </w:tr>
      <w:tr w:rsidR="0015102C" w14:paraId="3EC9DA35" w14:textId="77777777" w:rsidTr="004305AB">
        <w:tblPrEx>
          <w:tblLook w:val="04A0" w:firstRow="1" w:lastRow="0" w:firstColumn="1" w:lastColumn="0" w:noHBand="0" w:noVBand="1"/>
        </w:tblPrEx>
        <w:trPr>
          <w:trHeight w:val="397"/>
        </w:trPr>
        <w:tc>
          <w:tcPr>
            <w:tcW w:w="1129" w:type="dxa"/>
          </w:tcPr>
          <w:p w14:paraId="3D3B6E72" w14:textId="066E1F6D" w:rsidR="0015102C" w:rsidRDefault="0015102C" w:rsidP="00AB7FD6">
            <w:pPr>
              <w:pStyle w:val="TableBody"/>
            </w:pPr>
            <w:r>
              <w:lastRenderedPageBreak/>
              <w:t>7.1</w:t>
            </w:r>
          </w:p>
        </w:tc>
        <w:tc>
          <w:tcPr>
            <w:tcW w:w="2835" w:type="dxa"/>
          </w:tcPr>
          <w:p w14:paraId="2C08E3AE" w14:textId="02441B3B" w:rsidR="0015102C" w:rsidRPr="00C27911" w:rsidRDefault="006A3179" w:rsidP="00AB7FD6">
            <w:pPr>
              <w:pStyle w:val="TableBody"/>
            </w:pPr>
            <w:r>
              <w:t>22</w:t>
            </w:r>
            <w:r w:rsidR="0015102C">
              <w:t xml:space="preserve"> Ju</w:t>
            </w:r>
            <w:r w:rsidR="00075DC6">
              <w:t>ly</w:t>
            </w:r>
            <w:r w:rsidR="0015102C">
              <w:t xml:space="preserve"> 2024</w:t>
            </w:r>
          </w:p>
        </w:tc>
        <w:tc>
          <w:tcPr>
            <w:tcW w:w="5809" w:type="dxa"/>
          </w:tcPr>
          <w:p w14:paraId="6C136300" w14:textId="093B34C2" w:rsidR="0015102C" w:rsidRPr="004737D6" w:rsidRDefault="005A5DE6" w:rsidP="0015102C">
            <w:pPr>
              <w:pStyle w:val="Tablebullet1"/>
            </w:pPr>
            <w:r>
              <w:t xml:space="preserve">Exclusion criteria and </w:t>
            </w:r>
            <w:r w:rsidR="0015102C" w:rsidRPr="0015102C">
              <w:t>Section 1.4 updated to include information on use of vaccine in breastfeeding.</w:t>
            </w:r>
          </w:p>
        </w:tc>
      </w:tr>
      <w:bookmarkEnd w:id="6"/>
    </w:tbl>
    <w:p w14:paraId="173A54BE" w14:textId="77777777" w:rsidR="00814B11" w:rsidRPr="00814B11" w:rsidRDefault="00814B11" w:rsidP="00C4047F"/>
    <w:sectPr w:rsidR="00814B11" w:rsidRPr="00814B11" w:rsidSect="00E230B7">
      <w:footnotePr>
        <w:numFmt w:val="lowerRoman"/>
      </w:footnotePr>
      <w:endnotePr>
        <w:numFmt w:val="decimal"/>
      </w:endnotePr>
      <w:pgSz w:w="11906" w:h="16838"/>
      <w:pgMar w:top="1418" w:right="1418" w:bottom="1531" w:left="1418" w:header="680"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76B719" w14:textId="77777777" w:rsidR="001D7C5C" w:rsidRPr="008B0187" w:rsidRDefault="001D7C5C" w:rsidP="008B0187">
      <w:pPr>
        <w:pStyle w:val="Footer"/>
      </w:pPr>
    </w:p>
  </w:endnote>
  <w:endnote w:type="continuationSeparator" w:id="0">
    <w:p w14:paraId="6E54F638" w14:textId="77777777" w:rsidR="001D7C5C" w:rsidRDefault="001D7C5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549E84" w14:textId="77777777" w:rsidR="0075108D" w:rsidRDefault="0075108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43395953"/>
      <w:docPartObj>
        <w:docPartGallery w:val="Page Numbers (Bottom of Page)"/>
        <w:docPartUnique/>
      </w:docPartObj>
    </w:sdtPr>
    <w:sdtEndPr/>
    <w:sdtContent>
      <w:p w14:paraId="078D011D" w14:textId="77777777" w:rsidR="00D202E2" w:rsidRDefault="00D202E2" w:rsidP="00587532">
        <w:pPr>
          <w:pStyle w:val="Pagenumbers"/>
        </w:pPr>
        <w:r>
          <w:rPr>
            <w:noProof w:val="0"/>
          </w:rPr>
          <w:fldChar w:fldCharType="begin"/>
        </w:r>
        <w:r>
          <w:instrText xml:space="preserve"> PAGE   \* MERGEFORMAT </w:instrText>
        </w:r>
        <w:r>
          <w:rPr>
            <w:noProof w:val="0"/>
          </w:rPr>
          <w:fldChar w:fldCharType="separate"/>
        </w:r>
        <w:r w:rsidR="00B104AA">
          <w:t>2</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okmarkStart w:id="0" w:name="_Hlk69468892"/>
  <w:bookmarkStart w:id="1" w:name="_Hlk69468893"/>
  <w:bookmarkStart w:id="2" w:name="_Hlk69468894"/>
  <w:bookmarkStart w:id="3" w:name="_Hlk69468895"/>
  <w:bookmarkStart w:id="4" w:name="_Hlk69468896"/>
  <w:bookmarkStart w:id="5" w:name="_Hlk69468897"/>
  <w:p w14:paraId="6A37B289" w14:textId="53C06E00" w:rsidR="00D202E2" w:rsidRPr="00294C86" w:rsidRDefault="00D202E2" w:rsidP="002A3CA3">
    <w:pPr>
      <w:pStyle w:val="Coverfooter"/>
    </w:pPr>
    <w:r w:rsidRPr="00294C86">
      <w:rPr>
        <w:noProof/>
        <w:lang w:eastAsia="en-GB"/>
      </w:rPr>
      <mc:AlternateContent>
        <mc:Choice Requires="wps">
          <w:drawing>
            <wp:anchor distT="0" distB="0" distL="114300" distR="114300" simplePos="0" relativeHeight="251661312" behindDoc="0" locked="0" layoutInCell="1" allowOverlap="1" wp14:anchorId="3D279CF7" wp14:editId="33BD71AB">
              <wp:simplePos x="0" y="0"/>
              <wp:positionH relativeFrom="rightMargin">
                <wp:align>left</wp:align>
              </wp:positionH>
              <wp:positionV relativeFrom="bottomMargin">
                <wp:align>top</wp:align>
              </wp:positionV>
              <wp:extent cx="449119" cy="1259840"/>
              <wp:effectExtent l="0" t="0" r="0" b="0"/>
              <wp:wrapNone/>
              <wp:docPr id="13" name="Rectangle 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49119" cy="125984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9611020" w14:textId="77777777" w:rsidR="00D202E2" w:rsidRPr="00E234F4" w:rsidRDefault="00D202E2" w:rsidP="001A7DA0">
                          <w:pPr>
                            <w:jc w:val="right"/>
                            <w:rPr>
                              <w:vanish/>
                              <w:color w:val="000000" w:themeColor="text1"/>
                              <w:sz w:val="16"/>
                              <w:szCs w:val="16"/>
                            </w:rPr>
                          </w:pPr>
                          <w:r w:rsidRPr="00E234F4">
                            <w:rPr>
                              <w:vanish/>
                              <w:color w:val="000000" w:themeColor="text1"/>
                              <w:sz w:val="16"/>
                              <w:szCs w:val="16"/>
                            </w:rPr>
                            <w:t>General</w:t>
                          </w:r>
                          <w:r>
                            <w:rPr>
                              <w:vanish/>
                              <w:color w:val="000000" w:themeColor="text1"/>
                              <w:sz w:val="16"/>
                              <w:szCs w:val="16"/>
                            </w:rPr>
                            <w:t xml:space="preserve"> v1</w:t>
                          </w:r>
                        </w:p>
                      </w:txbxContent>
                    </wps:txbx>
                    <wps:bodyPr rot="0" spcFirstLastPara="0" vertOverflow="overflow" horzOverflow="overflow" vert="vert" wrap="square" lIns="91440" tIns="45720" rIns="91440" bIns="14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279CF7" id="Rectangle 13" o:spid="_x0000_s1027" alt="&quot;&quot;" style="position:absolute;margin-left:0;margin-top:0;width:35.35pt;height:99.2pt;z-index:251661312;visibility:visible;mso-wrap-style:square;mso-width-percent:0;mso-height-percent:0;mso-wrap-distance-left:9pt;mso-wrap-distance-top:0;mso-wrap-distance-right:9pt;mso-wrap-distance-bottom:0;mso-position-horizontal:left;mso-position-horizontal-relative:right-margin-area;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" filled="f" stroked="f" strokeweight="1.25pt">
              <v:textbox style="layout-flow:vertical" inset=",,,4mm">
                <w:txbxContent>
                  <w:p w14:paraId="19611020" w14:textId="77777777" w:rsidR="00D202E2" w:rsidRPr="00E234F4" w:rsidRDefault="00D202E2" w:rsidP="001A7DA0">
                    <w:pPr>
                      <w:jc w:val="right"/>
                      <w:rPr>
                        <w:vanish/>
                        <w:color w:val="000000" w:themeColor="text1"/>
                        <w:sz w:val="16"/>
                        <w:szCs w:val="16"/>
                      </w:rPr>
                    </w:pPr>
                    <w:r w:rsidRPr="00E234F4">
                      <w:rPr>
                        <w:vanish/>
                        <w:color w:val="000000" w:themeColor="text1"/>
                        <w:sz w:val="16"/>
                        <w:szCs w:val="16"/>
                      </w:rPr>
                      <w:t>General</w:t>
                    </w:r>
                    <w:r>
                      <w:rPr>
                        <w:vanish/>
                        <w:color w:val="000000" w:themeColor="text1"/>
                        <w:sz w:val="16"/>
                        <w:szCs w:val="16"/>
                      </w:rPr>
                      <w:t xml:space="preserve"> v1</w:t>
                    </w:r>
                  </w:p>
                </w:txbxContent>
              </v:textbox>
              <w10:wrap anchorx="margin" anchory="margin"/>
            </v:rect>
          </w:pict>
        </mc:Fallback>
      </mc:AlternateContent>
    </w:r>
    <w:r>
      <w:t xml:space="preserve">Version </w:t>
    </w:r>
    <w:bookmarkEnd w:id="0"/>
    <w:bookmarkEnd w:id="1"/>
    <w:bookmarkEnd w:id="2"/>
    <w:bookmarkEnd w:id="3"/>
    <w:bookmarkEnd w:id="4"/>
    <w:bookmarkEnd w:id="5"/>
    <w:r w:rsidR="0075108D">
      <w:t>7</w:t>
    </w:r>
    <w:r w:rsidR="007F1E90">
      <w:t>.</w:t>
    </w:r>
    <w:r w:rsidR="00A07883">
      <w:t>1</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D9ABC4" w14:textId="77777777" w:rsidR="00D202E2" w:rsidRPr="00AC7145" w:rsidRDefault="00D202E2" w:rsidP="00AC7145">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noProof w:val="0"/>
      </w:rPr>
      <w:id w:val="-289290511"/>
      <w:docPartObj>
        <w:docPartGallery w:val="Page Numbers (Bottom of Page)"/>
        <w:docPartUnique/>
      </w:docPartObj>
    </w:sdtPr>
    <w:sdtEndPr>
      <w:rPr>
        <w:noProof/>
      </w:rPr>
    </w:sdtEndPr>
    <w:sdtContent>
      <w:p w14:paraId="0420E2BD" w14:textId="77777777" w:rsidR="00D202E2" w:rsidRPr="00B060A4" w:rsidRDefault="00D202E2" w:rsidP="00710325">
        <w:pPr>
          <w:pStyle w:val="Pagenumbers"/>
        </w:pPr>
        <w:r>
          <w:rPr>
            <w:noProof w:val="0"/>
          </w:rPr>
          <w:fldChar w:fldCharType="begin"/>
        </w:r>
        <w:r>
          <w:instrText xml:space="preserve"> PAGE   \* MERGEFORMAT </w:instrText>
        </w:r>
        <w:r>
          <w:rPr>
            <w:noProof w:val="0"/>
          </w:rPr>
          <w:fldChar w:fldCharType="separate"/>
        </w:r>
        <w:r w:rsidR="00592480">
          <w:t>1</w:t>
        </w:r>
        <w:r>
          <w:fldChar w:fldCharType="end"/>
        </w:r>
      </w:p>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2475434"/>
      <w:docPartObj>
        <w:docPartGallery w:val="Page Numbers (Bottom of Page)"/>
        <w:docPartUnique/>
      </w:docPartObj>
    </w:sdtPr>
    <w:sdtEndPr/>
    <w:sdtContent>
      <w:sdt>
        <w:sdtPr>
          <w:id w:val="-705557575"/>
          <w:docPartObj>
            <w:docPartGallery w:val="Page Numbers (Bottom of Page)"/>
            <w:docPartUnique/>
          </w:docPartObj>
        </w:sdtPr>
        <w:sdtEndPr/>
        <w:sdtContent>
          <w:p w14:paraId="33F2E018" w14:textId="77777777" w:rsidR="00D202E2" w:rsidRPr="00B060A4" w:rsidRDefault="00D202E2" w:rsidP="007825E0">
            <w:pPr>
              <w:pStyle w:val="Pagenumbers"/>
            </w:pPr>
            <w:r>
              <w:fldChar w:fldCharType="begin"/>
            </w:r>
            <w:r>
              <w:instrText xml:space="preserve"> PAGE   \* MERGEFORMAT </w:instrText>
            </w:r>
            <w:r>
              <w:fldChar w:fldCharType="separate"/>
            </w:r>
            <w:r w:rsidR="00592480">
              <w:t>24</w:t>
            </w:r>
            <w: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235B02" w14:textId="77777777" w:rsidR="001D7C5C" w:rsidRDefault="001D7C5C">
      <w:r>
        <w:separator/>
      </w:r>
    </w:p>
  </w:footnote>
  <w:footnote w:type="continuationSeparator" w:id="0">
    <w:p w14:paraId="65315C59" w14:textId="77777777" w:rsidR="001D7C5C" w:rsidRDefault="001D7C5C" w:rsidP="00151D33">
      <w:r>
        <w:continuationSeparator/>
      </w:r>
    </w:p>
    <w:p w14:paraId="31B0AD68" w14:textId="77777777" w:rsidR="001D7C5C" w:rsidRDefault="001D7C5C" w:rsidP="00151D33"/>
    <w:p w14:paraId="61F937E9" w14:textId="77777777" w:rsidR="001D7C5C" w:rsidRDefault="001D7C5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68D7D8" w14:textId="77777777" w:rsidR="0075108D" w:rsidRDefault="007510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73E653" w14:textId="77777777" w:rsidR="0075108D" w:rsidRDefault="007510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3C89F3" w14:textId="77777777" w:rsidR="00D202E2" w:rsidRPr="0040598E" w:rsidRDefault="00D202E2" w:rsidP="00E234F4">
    <w:pPr>
      <w:pStyle w:val="Header"/>
    </w:pPr>
    <w:r>
      <w:tab/>
    </w:r>
    <w:r>
      <w:rPr>
        <w:noProof/>
        <w:lang w:eastAsia="en-GB"/>
      </w:rPr>
      <w:drawing>
        <wp:inline distT="0" distB="0" distL="0" distR="0" wp14:anchorId="43BDA0C4" wp14:editId="5CCD579E">
          <wp:extent cx="2159635" cy="779145"/>
          <wp:effectExtent l="0" t="0" r="0" b="1905"/>
          <wp:docPr id="24" name="Picture 24" descr="Public Health Scot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ublic Health Scotland logo"/>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159635" cy="779145"/>
                  </a:xfrm>
                  <a:prstGeom prst="rect">
                    <a:avLst/>
                  </a:prstGeom>
                  <a:noFill/>
                </pic:spPr>
              </pic:pic>
            </a:graphicData>
          </a:graphic>
        </wp:inline>
      </w:drawing>
    </w:r>
    <w:r>
      <w:rPr>
        <w:noProof/>
        <w:lang w:eastAsia="en-GB"/>
      </w:rPr>
      <w:drawing>
        <wp:anchor distT="0" distB="0" distL="114300" distR="114300" simplePos="0" relativeHeight="251678720" behindDoc="1" locked="0" layoutInCell="1" allowOverlap="1" wp14:anchorId="4CA72F20" wp14:editId="44C7B997">
          <wp:simplePos x="0" y="0"/>
          <wp:positionH relativeFrom="page">
            <wp:posOffset>-2540</wp:posOffset>
          </wp:positionH>
          <wp:positionV relativeFrom="paragraph">
            <wp:posOffset>-2061736</wp:posOffset>
          </wp:positionV>
          <wp:extent cx="7560000" cy="10693816"/>
          <wp:effectExtent l="0" t="0" r="3175" b="0"/>
          <wp:wrapNone/>
          <wp:docPr id="25" name="Picture 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2">
                    <a:extLst>
                      <a:ext uri="{28A0092B-C50C-407E-A947-70E740481C1C}">
                        <a14:useLocalDpi xmlns:a14="http://schemas.microsoft.com/office/drawing/2010/main" val="0"/>
                      </a:ext>
                    </a:extLst>
                  </a:blip>
                  <a:stretch>
                    <a:fillRect/>
                  </a:stretch>
                </pic:blipFill>
                <pic:spPr>
                  <a:xfrm>
                    <a:off x="0" y="0"/>
                    <a:ext cx="7560000" cy="10693816"/>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7D47CE"/>
    <w:multiLevelType w:val="multilevel"/>
    <w:tmpl w:val="CA78EF30"/>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C7B6AC9"/>
    <w:multiLevelType w:val="hybridMultilevel"/>
    <w:tmpl w:val="54AEEC7E"/>
    <w:lvl w:ilvl="0" w:tplc="6004EA14">
      <w:start w:val="1"/>
      <w:numFmt w:val="bullet"/>
      <w:lvlText w:val=""/>
      <w:lvlJc w:val="left"/>
      <w:pPr>
        <w:ind w:left="360" w:hanging="360"/>
      </w:pPr>
      <w:rPr>
        <w:rFonts w:ascii="Symbol" w:hAnsi="Symbol" w:hint="default"/>
        <w:color w:val="auto"/>
        <w:sz w:val="22"/>
        <w:szCs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1B916AD"/>
    <w:multiLevelType w:val="multilevel"/>
    <w:tmpl w:val="D50EFFAE"/>
    <w:lvl w:ilvl="0">
      <w:start w:val="1"/>
      <w:numFmt w:val="decimal"/>
      <w:suff w:val="space"/>
      <w:lvlText w:val="%1."/>
      <w:lvlJc w:val="left"/>
      <w:pPr>
        <w:ind w:left="0" w:firstLine="0"/>
      </w:pPr>
      <w:rPr>
        <w:rFonts w:ascii="Arial" w:eastAsiaTheme="majorEastAsia" w:hAnsi="Arial" w:cstheme="majorBidi"/>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3" w15:restartNumberingAfterBreak="0">
    <w:nsid w:val="126D2621"/>
    <w:multiLevelType w:val="hybridMultilevel"/>
    <w:tmpl w:val="5706E262"/>
    <w:lvl w:ilvl="0" w:tplc="D56636FE">
      <w:start w:val="1"/>
      <w:numFmt w:val="bullet"/>
      <w:pStyle w:val="Bullet3"/>
      <w:lvlText w:val=""/>
      <w:lvlJc w:val="left"/>
      <w:pPr>
        <w:ind w:left="2194" w:hanging="360"/>
      </w:pPr>
      <w:rPr>
        <w:rFonts w:ascii="Wingdings" w:hAnsi="Wingdings" w:hint="default"/>
      </w:rPr>
    </w:lvl>
    <w:lvl w:ilvl="1" w:tplc="08090003" w:tentative="1">
      <w:start w:val="1"/>
      <w:numFmt w:val="bullet"/>
      <w:lvlText w:val="o"/>
      <w:lvlJc w:val="left"/>
      <w:pPr>
        <w:ind w:left="2914" w:hanging="360"/>
      </w:pPr>
      <w:rPr>
        <w:rFonts w:ascii="Courier New" w:hAnsi="Courier New" w:cs="Courier New" w:hint="default"/>
      </w:rPr>
    </w:lvl>
    <w:lvl w:ilvl="2" w:tplc="08090005" w:tentative="1">
      <w:start w:val="1"/>
      <w:numFmt w:val="bullet"/>
      <w:lvlText w:val=""/>
      <w:lvlJc w:val="left"/>
      <w:pPr>
        <w:ind w:left="3634" w:hanging="360"/>
      </w:pPr>
      <w:rPr>
        <w:rFonts w:ascii="Wingdings" w:hAnsi="Wingdings" w:hint="default"/>
      </w:rPr>
    </w:lvl>
    <w:lvl w:ilvl="3" w:tplc="08090001" w:tentative="1">
      <w:start w:val="1"/>
      <w:numFmt w:val="bullet"/>
      <w:lvlText w:val=""/>
      <w:lvlJc w:val="left"/>
      <w:pPr>
        <w:ind w:left="4354" w:hanging="360"/>
      </w:pPr>
      <w:rPr>
        <w:rFonts w:ascii="Symbol" w:hAnsi="Symbol" w:hint="default"/>
      </w:rPr>
    </w:lvl>
    <w:lvl w:ilvl="4" w:tplc="08090003" w:tentative="1">
      <w:start w:val="1"/>
      <w:numFmt w:val="bullet"/>
      <w:lvlText w:val="o"/>
      <w:lvlJc w:val="left"/>
      <w:pPr>
        <w:ind w:left="5074" w:hanging="360"/>
      </w:pPr>
      <w:rPr>
        <w:rFonts w:ascii="Courier New" w:hAnsi="Courier New" w:cs="Courier New" w:hint="default"/>
      </w:rPr>
    </w:lvl>
    <w:lvl w:ilvl="5" w:tplc="08090005" w:tentative="1">
      <w:start w:val="1"/>
      <w:numFmt w:val="bullet"/>
      <w:lvlText w:val=""/>
      <w:lvlJc w:val="left"/>
      <w:pPr>
        <w:ind w:left="5794" w:hanging="360"/>
      </w:pPr>
      <w:rPr>
        <w:rFonts w:ascii="Wingdings" w:hAnsi="Wingdings" w:hint="default"/>
      </w:rPr>
    </w:lvl>
    <w:lvl w:ilvl="6" w:tplc="08090001" w:tentative="1">
      <w:start w:val="1"/>
      <w:numFmt w:val="bullet"/>
      <w:lvlText w:val=""/>
      <w:lvlJc w:val="left"/>
      <w:pPr>
        <w:ind w:left="6514" w:hanging="360"/>
      </w:pPr>
      <w:rPr>
        <w:rFonts w:ascii="Symbol" w:hAnsi="Symbol" w:hint="default"/>
      </w:rPr>
    </w:lvl>
    <w:lvl w:ilvl="7" w:tplc="08090003" w:tentative="1">
      <w:start w:val="1"/>
      <w:numFmt w:val="bullet"/>
      <w:lvlText w:val="o"/>
      <w:lvlJc w:val="left"/>
      <w:pPr>
        <w:ind w:left="7234" w:hanging="360"/>
      </w:pPr>
      <w:rPr>
        <w:rFonts w:ascii="Courier New" w:hAnsi="Courier New" w:cs="Courier New" w:hint="default"/>
      </w:rPr>
    </w:lvl>
    <w:lvl w:ilvl="8" w:tplc="08090005" w:tentative="1">
      <w:start w:val="1"/>
      <w:numFmt w:val="bullet"/>
      <w:lvlText w:val=""/>
      <w:lvlJc w:val="left"/>
      <w:pPr>
        <w:ind w:left="7954" w:hanging="360"/>
      </w:pPr>
      <w:rPr>
        <w:rFonts w:ascii="Wingdings" w:hAnsi="Wingdings" w:hint="default"/>
      </w:rPr>
    </w:lvl>
  </w:abstractNum>
  <w:abstractNum w:abstractNumId="4" w15:restartNumberingAfterBreak="0">
    <w:nsid w:val="1741493E"/>
    <w:multiLevelType w:val="hybridMultilevel"/>
    <w:tmpl w:val="023C2486"/>
    <w:lvl w:ilvl="0" w:tplc="2CCABE02">
      <w:start w:val="1"/>
      <w:numFmt w:val="bullet"/>
      <w:pStyle w:val="Bullet1"/>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CA636E7"/>
    <w:multiLevelType w:val="multilevel"/>
    <w:tmpl w:val="71902B66"/>
    <w:lvl w:ilvl="0">
      <w:start w:val="1"/>
      <w:numFmt w:val="decimal"/>
      <w:pStyle w:val="Tablebulletnumbered1123"/>
      <w:lvlText w:val="%1."/>
      <w:lvlJc w:val="left"/>
      <w:pPr>
        <w:tabs>
          <w:tab w:val="num" w:pos="284"/>
        </w:tabs>
        <w:ind w:left="284" w:hanging="284"/>
      </w:pPr>
      <w:rPr>
        <w:rFonts w:hint="default"/>
      </w:rPr>
    </w:lvl>
    <w:lvl w:ilvl="1">
      <w:start w:val="1"/>
      <w:numFmt w:val="lowerLetter"/>
      <w:pStyle w:val="Tablebulletnumbered2abc"/>
      <w:lvlText w:val="%2."/>
      <w:lvlJc w:val="left"/>
      <w:pPr>
        <w:tabs>
          <w:tab w:val="num" w:pos="567"/>
        </w:tabs>
        <w:ind w:left="567" w:hanging="283"/>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25586727"/>
    <w:multiLevelType w:val="hybridMultilevel"/>
    <w:tmpl w:val="B4883DBA"/>
    <w:lvl w:ilvl="0" w:tplc="81809D90">
      <w:start w:val="1"/>
      <w:numFmt w:val="bullet"/>
      <w:pStyle w:val="Tablebullet1"/>
      <w:lvlText w:val=""/>
      <w:lvlJc w:val="left"/>
      <w:pPr>
        <w:ind w:left="720" w:hanging="360"/>
      </w:pPr>
      <w:rPr>
        <w:rFonts w:ascii="Symbol" w:hAnsi="Symbol" w:hint="default"/>
      </w:rPr>
    </w:lvl>
    <w:lvl w:ilvl="1" w:tplc="76ECB9A6">
      <w:start w:val="1"/>
      <w:numFmt w:val="bullet"/>
      <w:pStyle w:val="Table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66E0223"/>
    <w:multiLevelType w:val="multilevel"/>
    <w:tmpl w:val="4288B0E0"/>
    <w:lvl w:ilvl="0">
      <w:start w:val="1"/>
      <w:numFmt w:val="decimal"/>
      <w:pStyle w:val="Bulletnumbered1123"/>
      <w:lvlText w:val="%1."/>
      <w:lvlJc w:val="left"/>
      <w:pPr>
        <w:ind w:left="697" w:hanging="337"/>
      </w:pPr>
      <w:rPr>
        <w:rFonts w:hint="default"/>
      </w:rPr>
    </w:lvl>
    <w:lvl w:ilvl="1">
      <w:start w:val="1"/>
      <w:numFmt w:val="lowerLetter"/>
      <w:lvlRestart w:val="0"/>
      <w:pStyle w:val="Bulletnumbered2abc"/>
      <w:lvlText w:val="%2."/>
      <w:lvlJc w:val="left"/>
      <w:pPr>
        <w:ind w:left="1440" w:hanging="360"/>
      </w:pPr>
      <w:rPr>
        <w:rFonts w:hint="default"/>
      </w:rPr>
    </w:lvl>
    <w:lvl w:ilvl="2">
      <w:start w:val="1"/>
      <w:numFmt w:val="lowerRoman"/>
      <w:pStyle w:val="Bulletnumbered3iii"/>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285A3C3A"/>
    <w:multiLevelType w:val="hybridMultilevel"/>
    <w:tmpl w:val="4BB247B2"/>
    <w:lvl w:ilvl="0" w:tplc="28FCC83C">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EBB0B51"/>
    <w:multiLevelType w:val="hybridMultilevel"/>
    <w:tmpl w:val="427E4E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EFA7177"/>
    <w:multiLevelType w:val="multilevel"/>
    <w:tmpl w:val="563CAFBA"/>
    <w:lvl w:ilvl="0">
      <w:start w:val="1"/>
      <w:numFmt w:val="decimal"/>
      <w:pStyle w:val="Heading1numbered"/>
      <w:suff w:val="space"/>
      <w:lvlText w:val="%1."/>
      <w:lvlJc w:val="left"/>
      <w:pPr>
        <w:ind w:left="0" w:firstLine="0"/>
      </w:pPr>
      <w:rPr>
        <w:rFonts w:ascii="Arial" w:eastAsiaTheme="majorEastAsia" w:hAnsi="Arial" w:cstheme="majorBidi"/>
      </w:rPr>
    </w:lvl>
    <w:lvl w:ilvl="1">
      <w:start w:val="1"/>
      <w:numFmt w:val="decimal"/>
      <w:pStyle w:val="NormalH2numbered"/>
      <w:suff w:val="space"/>
      <w:lvlText w:val="%1.%2."/>
      <w:lvlJc w:val="left"/>
      <w:pPr>
        <w:ind w:left="283"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pStyle w:val="Heading4numbered"/>
      <w:suff w:val="space"/>
      <w:lvlText w:val="%1.%2.%3.%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righ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right"/>
      <w:pPr>
        <w:ind w:left="0" w:firstLine="0"/>
      </w:pPr>
      <w:rPr>
        <w:rFonts w:hint="default"/>
      </w:rPr>
    </w:lvl>
  </w:abstractNum>
  <w:abstractNum w:abstractNumId="11" w15:restartNumberingAfterBreak="0">
    <w:nsid w:val="3AE93D40"/>
    <w:multiLevelType w:val="hybridMultilevel"/>
    <w:tmpl w:val="FBB61B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51B606F"/>
    <w:multiLevelType w:val="hybridMultilevel"/>
    <w:tmpl w:val="15CC8CAE"/>
    <w:lvl w:ilvl="0" w:tplc="F98E485E">
      <w:start w:val="1"/>
      <w:numFmt w:val="lowerLetter"/>
      <w:lvlText w:val="%1."/>
      <w:lvlJc w:val="left"/>
      <w:pPr>
        <w:ind w:left="947" w:hanging="360"/>
      </w:pPr>
    </w:lvl>
    <w:lvl w:ilvl="1" w:tplc="08090019" w:tentative="1">
      <w:start w:val="1"/>
      <w:numFmt w:val="lowerLetter"/>
      <w:lvlText w:val="%2."/>
      <w:lvlJc w:val="left"/>
      <w:pPr>
        <w:ind w:left="1667" w:hanging="360"/>
      </w:pPr>
    </w:lvl>
    <w:lvl w:ilvl="2" w:tplc="0809001B" w:tentative="1">
      <w:start w:val="1"/>
      <w:numFmt w:val="lowerRoman"/>
      <w:lvlText w:val="%3."/>
      <w:lvlJc w:val="right"/>
      <w:pPr>
        <w:ind w:left="2387" w:hanging="180"/>
      </w:pPr>
    </w:lvl>
    <w:lvl w:ilvl="3" w:tplc="0809000F" w:tentative="1">
      <w:start w:val="1"/>
      <w:numFmt w:val="decimal"/>
      <w:lvlText w:val="%4."/>
      <w:lvlJc w:val="left"/>
      <w:pPr>
        <w:ind w:left="3107" w:hanging="360"/>
      </w:pPr>
    </w:lvl>
    <w:lvl w:ilvl="4" w:tplc="08090019" w:tentative="1">
      <w:start w:val="1"/>
      <w:numFmt w:val="lowerLetter"/>
      <w:lvlText w:val="%5."/>
      <w:lvlJc w:val="left"/>
      <w:pPr>
        <w:ind w:left="3827" w:hanging="360"/>
      </w:pPr>
    </w:lvl>
    <w:lvl w:ilvl="5" w:tplc="0809001B" w:tentative="1">
      <w:start w:val="1"/>
      <w:numFmt w:val="lowerRoman"/>
      <w:lvlText w:val="%6."/>
      <w:lvlJc w:val="right"/>
      <w:pPr>
        <w:ind w:left="4547" w:hanging="180"/>
      </w:pPr>
    </w:lvl>
    <w:lvl w:ilvl="6" w:tplc="0809000F" w:tentative="1">
      <w:start w:val="1"/>
      <w:numFmt w:val="decimal"/>
      <w:lvlText w:val="%7."/>
      <w:lvlJc w:val="left"/>
      <w:pPr>
        <w:ind w:left="5267" w:hanging="360"/>
      </w:pPr>
    </w:lvl>
    <w:lvl w:ilvl="7" w:tplc="08090019" w:tentative="1">
      <w:start w:val="1"/>
      <w:numFmt w:val="lowerLetter"/>
      <w:lvlText w:val="%8."/>
      <w:lvlJc w:val="left"/>
      <w:pPr>
        <w:ind w:left="5987" w:hanging="360"/>
      </w:pPr>
    </w:lvl>
    <w:lvl w:ilvl="8" w:tplc="0809001B" w:tentative="1">
      <w:start w:val="1"/>
      <w:numFmt w:val="lowerRoman"/>
      <w:lvlText w:val="%9."/>
      <w:lvlJc w:val="right"/>
      <w:pPr>
        <w:ind w:left="6707" w:hanging="180"/>
      </w:pPr>
    </w:lvl>
  </w:abstractNum>
  <w:abstractNum w:abstractNumId="13" w15:restartNumberingAfterBreak="0">
    <w:nsid w:val="4E294C36"/>
    <w:multiLevelType w:val="hybridMultilevel"/>
    <w:tmpl w:val="D46E0098"/>
    <w:lvl w:ilvl="0" w:tplc="08090001">
      <w:start w:val="1"/>
      <w:numFmt w:val="bullet"/>
      <w:lvlText w:val=""/>
      <w:lvlJc w:val="left"/>
      <w:pPr>
        <w:ind w:left="587" w:hanging="360"/>
      </w:pPr>
      <w:rPr>
        <w:rFonts w:ascii="Symbol" w:hAnsi="Symbol" w:hint="default"/>
      </w:rPr>
    </w:lvl>
    <w:lvl w:ilvl="1" w:tplc="08090003" w:tentative="1">
      <w:start w:val="1"/>
      <w:numFmt w:val="bullet"/>
      <w:lvlText w:val="o"/>
      <w:lvlJc w:val="left"/>
      <w:pPr>
        <w:ind w:left="1307" w:hanging="360"/>
      </w:pPr>
      <w:rPr>
        <w:rFonts w:ascii="Courier New" w:hAnsi="Courier New" w:cs="Courier New" w:hint="default"/>
      </w:rPr>
    </w:lvl>
    <w:lvl w:ilvl="2" w:tplc="08090005" w:tentative="1">
      <w:start w:val="1"/>
      <w:numFmt w:val="bullet"/>
      <w:lvlText w:val=""/>
      <w:lvlJc w:val="left"/>
      <w:pPr>
        <w:ind w:left="2027" w:hanging="360"/>
      </w:pPr>
      <w:rPr>
        <w:rFonts w:ascii="Wingdings" w:hAnsi="Wingdings" w:hint="default"/>
      </w:rPr>
    </w:lvl>
    <w:lvl w:ilvl="3" w:tplc="08090001" w:tentative="1">
      <w:start w:val="1"/>
      <w:numFmt w:val="bullet"/>
      <w:lvlText w:val=""/>
      <w:lvlJc w:val="left"/>
      <w:pPr>
        <w:ind w:left="2747" w:hanging="360"/>
      </w:pPr>
      <w:rPr>
        <w:rFonts w:ascii="Symbol" w:hAnsi="Symbol" w:hint="default"/>
      </w:rPr>
    </w:lvl>
    <w:lvl w:ilvl="4" w:tplc="08090003" w:tentative="1">
      <w:start w:val="1"/>
      <w:numFmt w:val="bullet"/>
      <w:lvlText w:val="o"/>
      <w:lvlJc w:val="left"/>
      <w:pPr>
        <w:ind w:left="3467" w:hanging="360"/>
      </w:pPr>
      <w:rPr>
        <w:rFonts w:ascii="Courier New" w:hAnsi="Courier New" w:cs="Courier New" w:hint="default"/>
      </w:rPr>
    </w:lvl>
    <w:lvl w:ilvl="5" w:tplc="08090005" w:tentative="1">
      <w:start w:val="1"/>
      <w:numFmt w:val="bullet"/>
      <w:lvlText w:val=""/>
      <w:lvlJc w:val="left"/>
      <w:pPr>
        <w:ind w:left="4187" w:hanging="360"/>
      </w:pPr>
      <w:rPr>
        <w:rFonts w:ascii="Wingdings" w:hAnsi="Wingdings" w:hint="default"/>
      </w:rPr>
    </w:lvl>
    <w:lvl w:ilvl="6" w:tplc="08090001" w:tentative="1">
      <w:start w:val="1"/>
      <w:numFmt w:val="bullet"/>
      <w:lvlText w:val=""/>
      <w:lvlJc w:val="left"/>
      <w:pPr>
        <w:ind w:left="4907" w:hanging="360"/>
      </w:pPr>
      <w:rPr>
        <w:rFonts w:ascii="Symbol" w:hAnsi="Symbol" w:hint="default"/>
      </w:rPr>
    </w:lvl>
    <w:lvl w:ilvl="7" w:tplc="08090003" w:tentative="1">
      <w:start w:val="1"/>
      <w:numFmt w:val="bullet"/>
      <w:lvlText w:val="o"/>
      <w:lvlJc w:val="left"/>
      <w:pPr>
        <w:ind w:left="5627" w:hanging="360"/>
      </w:pPr>
      <w:rPr>
        <w:rFonts w:ascii="Courier New" w:hAnsi="Courier New" w:cs="Courier New" w:hint="default"/>
      </w:rPr>
    </w:lvl>
    <w:lvl w:ilvl="8" w:tplc="08090005" w:tentative="1">
      <w:start w:val="1"/>
      <w:numFmt w:val="bullet"/>
      <w:lvlText w:val=""/>
      <w:lvlJc w:val="left"/>
      <w:pPr>
        <w:ind w:left="6347" w:hanging="360"/>
      </w:pPr>
      <w:rPr>
        <w:rFonts w:ascii="Wingdings" w:hAnsi="Wingdings" w:hint="default"/>
      </w:rPr>
    </w:lvl>
  </w:abstractNum>
  <w:abstractNum w:abstractNumId="14" w15:restartNumberingAfterBreak="0">
    <w:nsid w:val="5F645449"/>
    <w:multiLevelType w:val="hybridMultilevel"/>
    <w:tmpl w:val="64081F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C2A55E7"/>
    <w:multiLevelType w:val="hybridMultilevel"/>
    <w:tmpl w:val="806AFC4A"/>
    <w:lvl w:ilvl="0" w:tplc="6D806ABC">
      <w:start w:val="1"/>
      <w:numFmt w:val="bullet"/>
      <w:pStyle w:val="Bullet2"/>
      <w:lvlText w:val="o"/>
      <w:lvlJc w:val="left"/>
      <w:pPr>
        <w:ind w:left="1854" w:hanging="360"/>
      </w:pPr>
      <w:rPr>
        <w:rFonts w:ascii="Courier New" w:hAnsi="Courier New" w:cs="Courier New" w:hint="default"/>
      </w:rPr>
    </w:lvl>
    <w:lvl w:ilvl="1" w:tplc="D2A80396">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6" w15:restartNumberingAfterBreak="0">
    <w:nsid w:val="75C0097D"/>
    <w:multiLevelType w:val="multilevel"/>
    <w:tmpl w:val="62F021B8"/>
    <w:lvl w:ilvl="0">
      <w:start w:val="1"/>
      <w:numFmt w:val="decimal"/>
      <w:pStyle w:val="NormalH1numbered"/>
      <w:lvlText w:val="%1."/>
      <w:lvlJc w:val="left"/>
      <w:pPr>
        <w:ind w:left="360" w:hanging="360"/>
      </w:p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800" w:hanging="180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520" w:hanging="2520"/>
      </w:pPr>
      <w:rPr>
        <w:rFonts w:hint="default"/>
      </w:rPr>
    </w:lvl>
  </w:abstractNum>
  <w:num w:numId="1" w16cid:durableId="351422399">
    <w:abstractNumId w:val="12"/>
    <w:lvlOverride w:ilvl="0">
      <w:startOverride w:val="1"/>
    </w:lvlOverride>
  </w:num>
  <w:num w:numId="2" w16cid:durableId="86548138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66778585">
    <w:abstractNumId w:val="4"/>
  </w:num>
  <w:num w:numId="4" w16cid:durableId="2137404187">
    <w:abstractNumId w:val="15"/>
  </w:num>
  <w:num w:numId="5" w16cid:durableId="1207445461">
    <w:abstractNumId w:val="3"/>
  </w:num>
  <w:num w:numId="6" w16cid:durableId="1318806866">
    <w:abstractNumId w:val="6"/>
  </w:num>
  <w:num w:numId="7" w16cid:durableId="1805659800">
    <w:abstractNumId w:val="7"/>
  </w:num>
  <w:num w:numId="8" w16cid:durableId="1210873619">
    <w:abstractNumId w:val="10"/>
  </w:num>
  <w:num w:numId="9" w16cid:durableId="905452924">
    <w:abstractNumId w:val="5"/>
  </w:num>
  <w:num w:numId="10" w16cid:durableId="838085023">
    <w:abstractNumId w:val="0"/>
  </w:num>
  <w:num w:numId="11" w16cid:durableId="1563446915">
    <w:abstractNumId w:val="0"/>
  </w:num>
  <w:num w:numId="12" w16cid:durableId="464813903">
    <w:abstractNumId w:val="13"/>
  </w:num>
  <w:num w:numId="13" w16cid:durableId="1287153489">
    <w:abstractNumId w:val="1"/>
  </w:num>
  <w:num w:numId="14" w16cid:durableId="229392895">
    <w:abstractNumId w:val="10"/>
    <w:lvlOverride w:ilvl="0">
      <w:startOverride w:val="8"/>
    </w:lvlOverride>
  </w:num>
  <w:num w:numId="15" w16cid:durableId="363288212">
    <w:abstractNumId w:val="12"/>
  </w:num>
  <w:num w:numId="16" w16cid:durableId="441534522">
    <w:abstractNumId w:val="14"/>
  </w:num>
  <w:num w:numId="17" w16cid:durableId="783116979">
    <w:abstractNumId w:val="11"/>
  </w:num>
  <w:num w:numId="18" w16cid:durableId="1330910053">
    <w:abstractNumId w:val="8"/>
  </w:num>
  <w:num w:numId="19" w16cid:durableId="427428137">
    <w:abstractNumId w:val="16"/>
  </w:num>
  <w:num w:numId="20" w16cid:durableId="143737146">
    <w:abstractNumId w:val="2"/>
  </w:num>
  <w:num w:numId="21" w16cid:durableId="100613498">
    <w:abstractNumId w:val="10"/>
    <w:lvlOverride w:ilvl="0">
      <w:startOverride w:val="2"/>
    </w:lvlOverride>
    <w:lvlOverride w:ilvl="1">
      <w:startOverride w:val="1"/>
    </w:lvlOverride>
  </w:num>
  <w:num w:numId="22" w16cid:durableId="1089739962">
    <w:abstractNumId w:val="10"/>
    <w:lvlOverride w:ilvl="0">
      <w:startOverride w:val="2"/>
    </w:lvlOverride>
    <w:lvlOverride w:ilvl="1">
      <w:startOverride w:val="4"/>
    </w:lvlOverride>
  </w:num>
  <w:num w:numId="23" w16cid:durableId="1896965022">
    <w:abstractNumId w:val="16"/>
    <w:lvlOverride w:ilvl="0">
      <w:startOverride w:val="2"/>
    </w:lvlOverride>
    <w:lvlOverride w:ilvl="1">
      <w:startOverride w:val="5"/>
    </w:lvlOverride>
  </w:num>
  <w:num w:numId="24" w16cid:durableId="1669093439">
    <w:abstractNumId w:val="16"/>
    <w:lvlOverride w:ilvl="0">
      <w:startOverride w:val="6"/>
    </w:lvlOverride>
  </w:num>
  <w:num w:numId="25" w16cid:durableId="1318878505">
    <w:abstractNumId w:val="9"/>
  </w:num>
  <w:num w:numId="26" w16cid:durableId="2001807522">
    <w:abstractNumId w:val="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proofState w:spelling="clean" w:grammar="clean"/>
  <w:attachedTemplate r:id="rId1"/>
  <w:stylePaneSortMethod w:val="0000"/>
  <w:documentProtection w:formatting="1" w:enforcement="0"/>
  <w:styleLockTheme/>
  <w:styleLockQFSet/>
  <w:defaultTabStop w:val="720"/>
  <w:characterSpacingControl w:val="doNotCompress"/>
  <w:hdrShapeDefaults>
    <o:shapedefaults v:ext="edit" spidmax="2050"/>
  </w:hdrShapeDefaults>
  <w:footnotePr>
    <w:numFmt w:val="lowerRoman"/>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I1NTSzsDSxNLGwNDZX0lEKTi0uzszPAykwqwUAPjfGKywAAAA="/>
  </w:docVars>
  <w:rsids>
    <w:rsidRoot w:val="003143ED"/>
    <w:rsid w:val="0000140B"/>
    <w:rsid w:val="000027FD"/>
    <w:rsid w:val="00006C8B"/>
    <w:rsid w:val="00011476"/>
    <w:rsid w:val="000202E1"/>
    <w:rsid w:val="00021AE4"/>
    <w:rsid w:val="0002275E"/>
    <w:rsid w:val="00022A4B"/>
    <w:rsid w:val="0002442E"/>
    <w:rsid w:val="00025D78"/>
    <w:rsid w:val="000314DA"/>
    <w:rsid w:val="0003229D"/>
    <w:rsid w:val="00032717"/>
    <w:rsid w:val="0003300D"/>
    <w:rsid w:val="00043625"/>
    <w:rsid w:val="00045D32"/>
    <w:rsid w:val="00050116"/>
    <w:rsid w:val="0005036E"/>
    <w:rsid w:val="00051080"/>
    <w:rsid w:val="00053378"/>
    <w:rsid w:val="00054AC2"/>
    <w:rsid w:val="000555C7"/>
    <w:rsid w:val="000568FB"/>
    <w:rsid w:val="000570C1"/>
    <w:rsid w:val="0006090C"/>
    <w:rsid w:val="0006123E"/>
    <w:rsid w:val="00062A37"/>
    <w:rsid w:val="0006320A"/>
    <w:rsid w:val="00063A6A"/>
    <w:rsid w:val="00063ACC"/>
    <w:rsid w:val="00063DCE"/>
    <w:rsid w:val="00064694"/>
    <w:rsid w:val="00065CAC"/>
    <w:rsid w:val="0006672C"/>
    <w:rsid w:val="000700D3"/>
    <w:rsid w:val="00070E6F"/>
    <w:rsid w:val="000717A6"/>
    <w:rsid w:val="000737F4"/>
    <w:rsid w:val="000743E6"/>
    <w:rsid w:val="00075217"/>
    <w:rsid w:val="00075A0F"/>
    <w:rsid w:val="00075DC6"/>
    <w:rsid w:val="000767E0"/>
    <w:rsid w:val="00077AB3"/>
    <w:rsid w:val="000822F3"/>
    <w:rsid w:val="000828FC"/>
    <w:rsid w:val="00082A45"/>
    <w:rsid w:val="0008721E"/>
    <w:rsid w:val="00090215"/>
    <w:rsid w:val="000914CA"/>
    <w:rsid w:val="00093ABF"/>
    <w:rsid w:val="000947D5"/>
    <w:rsid w:val="00096B1A"/>
    <w:rsid w:val="00097BF7"/>
    <w:rsid w:val="000A057E"/>
    <w:rsid w:val="000A1DFC"/>
    <w:rsid w:val="000A22CF"/>
    <w:rsid w:val="000A42EA"/>
    <w:rsid w:val="000A4580"/>
    <w:rsid w:val="000B0D20"/>
    <w:rsid w:val="000B226C"/>
    <w:rsid w:val="000B30EE"/>
    <w:rsid w:val="000C0176"/>
    <w:rsid w:val="000C26ED"/>
    <w:rsid w:val="000C5B36"/>
    <w:rsid w:val="000C5B5F"/>
    <w:rsid w:val="000C6792"/>
    <w:rsid w:val="000D0352"/>
    <w:rsid w:val="000D2EF7"/>
    <w:rsid w:val="000D322E"/>
    <w:rsid w:val="000D635C"/>
    <w:rsid w:val="000D653F"/>
    <w:rsid w:val="000E2511"/>
    <w:rsid w:val="000E598D"/>
    <w:rsid w:val="000F13AA"/>
    <w:rsid w:val="000F6846"/>
    <w:rsid w:val="000F7843"/>
    <w:rsid w:val="001003B6"/>
    <w:rsid w:val="001005DA"/>
    <w:rsid w:val="001044A0"/>
    <w:rsid w:val="001046D5"/>
    <w:rsid w:val="0010639F"/>
    <w:rsid w:val="0010657F"/>
    <w:rsid w:val="00106757"/>
    <w:rsid w:val="00106D18"/>
    <w:rsid w:val="00110650"/>
    <w:rsid w:val="001113E0"/>
    <w:rsid w:val="00112B56"/>
    <w:rsid w:val="00112D7A"/>
    <w:rsid w:val="001201B3"/>
    <w:rsid w:val="00123B8D"/>
    <w:rsid w:val="00127366"/>
    <w:rsid w:val="00127891"/>
    <w:rsid w:val="00127C74"/>
    <w:rsid w:val="00132DCC"/>
    <w:rsid w:val="00134246"/>
    <w:rsid w:val="0013485F"/>
    <w:rsid w:val="00135DE5"/>
    <w:rsid w:val="001418A1"/>
    <w:rsid w:val="00143B21"/>
    <w:rsid w:val="001452B5"/>
    <w:rsid w:val="0015102C"/>
    <w:rsid w:val="00151B10"/>
    <w:rsid w:val="00151D33"/>
    <w:rsid w:val="00155101"/>
    <w:rsid w:val="001575F8"/>
    <w:rsid w:val="00157FB3"/>
    <w:rsid w:val="001619A1"/>
    <w:rsid w:val="00161C76"/>
    <w:rsid w:val="00164CC1"/>
    <w:rsid w:val="00166C1C"/>
    <w:rsid w:val="00173E65"/>
    <w:rsid w:val="0017418C"/>
    <w:rsid w:val="001741F1"/>
    <w:rsid w:val="001743F7"/>
    <w:rsid w:val="00174930"/>
    <w:rsid w:val="00175DCE"/>
    <w:rsid w:val="00176180"/>
    <w:rsid w:val="00176608"/>
    <w:rsid w:val="001809FD"/>
    <w:rsid w:val="00181D4B"/>
    <w:rsid w:val="001852FC"/>
    <w:rsid w:val="001900C8"/>
    <w:rsid w:val="00195D28"/>
    <w:rsid w:val="001A136F"/>
    <w:rsid w:val="001A291F"/>
    <w:rsid w:val="001A631D"/>
    <w:rsid w:val="001A6EAB"/>
    <w:rsid w:val="001A7A92"/>
    <w:rsid w:val="001A7DA0"/>
    <w:rsid w:val="001B5051"/>
    <w:rsid w:val="001B6A9F"/>
    <w:rsid w:val="001B746E"/>
    <w:rsid w:val="001B7659"/>
    <w:rsid w:val="001C0BC7"/>
    <w:rsid w:val="001C39C9"/>
    <w:rsid w:val="001D1205"/>
    <w:rsid w:val="001D213B"/>
    <w:rsid w:val="001D5A82"/>
    <w:rsid w:val="001D7C5C"/>
    <w:rsid w:val="001E0D9C"/>
    <w:rsid w:val="001E1158"/>
    <w:rsid w:val="001E168E"/>
    <w:rsid w:val="001E376F"/>
    <w:rsid w:val="001E5954"/>
    <w:rsid w:val="001E5CBE"/>
    <w:rsid w:val="001E7A05"/>
    <w:rsid w:val="001F01DC"/>
    <w:rsid w:val="001F06E2"/>
    <w:rsid w:val="001F15B3"/>
    <w:rsid w:val="001F1C8D"/>
    <w:rsid w:val="001F2B07"/>
    <w:rsid w:val="001F5D16"/>
    <w:rsid w:val="00204BF4"/>
    <w:rsid w:val="00207052"/>
    <w:rsid w:val="002075A4"/>
    <w:rsid w:val="00210791"/>
    <w:rsid w:val="00213513"/>
    <w:rsid w:val="00213FEF"/>
    <w:rsid w:val="00216E69"/>
    <w:rsid w:val="00226C77"/>
    <w:rsid w:val="00230857"/>
    <w:rsid w:val="00232763"/>
    <w:rsid w:val="00232E5B"/>
    <w:rsid w:val="00234E80"/>
    <w:rsid w:val="00243283"/>
    <w:rsid w:val="0024328C"/>
    <w:rsid w:val="00243B47"/>
    <w:rsid w:val="00246B7A"/>
    <w:rsid w:val="00251846"/>
    <w:rsid w:val="00253256"/>
    <w:rsid w:val="002617BA"/>
    <w:rsid w:val="00266295"/>
    <w:rsid w:val="00270452"/>
    <w:rsid w:val="002722FC"/>
    <w:rsid w:val="0027557F"/>
    <w:rsid w:val="00276FAA"/>
    <w:rsid w:val="00280C82"/>
    <w:rsid w:val="0028278E"/>
    <w:rsid w:val="00283DF5"/>
    <w:rsid w:val="00287452"/>
    <w:rsid w:val="002922C1"/>
    <w:rsid w:val="00292910"/>
    <w:rsid w:val="00293429"/>
    <w:rsid w:val="00294938"/>
    <w:rsid w:val="00294C86"/>
    <w:rsid w:val="002961B4"/>
    <w:rsid w:val="002A1489"/>
    <w:rsid w:val="002A3357"/>
    <w:rsid w:val="002A368C"/>
    <w:rsid w:val="002A3CA3"/>
    <w:rsid w:val="002A53BB"/>
    <w:rsid w:val="002A5709"/>
    <w:rsid w:val="002A7096"/>
    <w:rsid w:val="002B257C"/>
    <w:rsid w:val="002B2F78"/>
    <w:rsid w:val="002B4C5B"/>
    <w:rsid w:val="002C1AA4"/>
    <w:rsid w:val="002C1D2B"/>
    <w:rsid w:val="002C427E"/>
    <w:rsid w:val="002C4F89"/>
    <w:rsid w:val="002C7C2B"/>
    <w:rsid w:val="002D45A0"/>
    <w:rsid w:val="002E0489"/>
    <w:rsid w:val="002E3469"/>
    <w:rsid w:val="002E41D1"/>
    <w:rsid w:val="002E7B06"/>
    <w:rsid w:val="002F11A3"/>
    <w:rsid w:val="002F1A5C"/>
    <w:rsid w:val="002F1E34"/>
    <w:rsid w:val="002F1FB4"/>
    <w:rsid w:val="002F5BA2"/>
    <w:rsid w:val="002F6A72"/>
    <w:rsid w:val="0030115E"/>
    <w:rsid w:val="0030130B"/>
    <w:rsid w:val="0030164E"/>
    <w:rsid w:val="00301F6B"/>
    <w:rsid w:val="00303BB4"/>
    <w:rsid w:val="00304A1D"/>
    <w:rsid w:val="003072DA"/>
    <w:rsid w:val="00313AF6"/>
    <w:rsid w:val="003143ED"/>
    <w:rsid w:val="00320A17"/>
    <w:rsid w:val="00326BC5"/>
    <w:rsid w:val="00326DE4"/>
    <w:rsid w:val="00326F3D"/>
    <w:rsid w:val="003310A9"/>
    <w:rsid w:val="00332C9F"/>
    <w:rsid w:val="0033574C"/>
    <w:rsid w:val="003366D6"/>
    <w:rsid w:val="003371A0"/>
    <w:rsid w:val="003419B5"/>
    <w:rsid w:val="003431FF"/>
    <w:rsid w:val="00343343"/>
    <w:rsid w:val="00345C8A"/>
    <w:rsid w:val="00346DAE"/>
    <w:rsid w:val="00347946"/>
    <w:rsid w:val="003504BB"/>
    <w:rsid w:val="00353C0D"/>
    <w:rsid w:val="003544DE"/>
    <w:rsid w:val="00355706"/>
    <w:rsid w:val="00360C06"/>
    <w:rsid w:val="003618A8"/>
    <w:rsid w:val="00361E4C"/>
    <w:rsid w:val="00362B0C"/>
    <w:rsid w:val="00367510"/>
    <w:rsid w:val="00371B3B"/>
    <w:rsid w:val="00376685"/>
    <w:rsid w:val="00376BBC"/>
    <w:rsid w:val="003824E8"/>
    <w:rsid w:val="00382689"/>
    <w:rsid w:val="00382D4A"/>
    <w:rsid w:val="003835DB"/>
    <w:rsid w:val="00390095"/>
    <w:rsid w:val="003920AF"/>
    <w:rsid w:val="003942B1"/>
    <w:rsid w:val="0039641C"/>
    <w:rsid w:val="00396F37"/>
    <w:rsid w:val="0039707D"/>
    <w:rsid w:val="003A012E"/>
    <w:rsid w:val="003A082D"/>
    <w:rsid w:val="003A0CF0"/>
    <w:rsid w:val="003A275C"/>
    <w:rsid w:val="003A2D93"/>
    <w:rsid w:val="003A3BBB"/>
    <w:rsid w:val="003A5359"/>
    <w:rsid w:val="003B1F13"/>
    <w:rsid w:val="003B2307"/>
    <w:rsid w:val="003B2541"/>
    <w:rsid w:val="003B25C2"/>
    <w:rsid w:val="003B3CD8"/>
    <w:rsid w:val="003B686E"/>
    <w:rsid w:val="003C0A7B"/>
    <w:rsid w:val="003C1493"/>
    <w:rsid w:val="003C26AF"/>
    <w:rsid w:val="003C549D"/>
    <w:rsid w:val="003C5A06"/>
    <w:rsid w:val="003C6DEB"/>
    <w:rsid w:val="003D04F5"/>
    <w:rsid w:val="003D73DD"/>
    <w:rsid w:val="003D7E02"/>
    <w:rsid w:val="003E076F"/>
    <w:rsid w:val="003E0D14"/>
    <w:rsid w:val="003E1AE7"/>
    <w:rsid w:val="003E1FC8"/>
    <w:rsid w:val="003E5FDB"/>
    <w:rsid w:val="003E6A0B"/>
    <w:rsid w:val="003E78CA"/>
    <w:rsid w:val="003F0CBB"/>
    <w:rsid w:val="003F4863"/>
    <w:rsid w:val="003F4C57"/>
    <w:rsid w:val="003F6B44"/>
    <w:rsid w:val="004000AB"/>
    <w:rsid w:val="0040116C"/>
    <w:rsid w:val="004019B4"/>
    <w:rsid w:val="00402650"/>
    <w:rsid w:val="00404D54"/>
    <w:rsid w:val="00404FBA"/>
    <w:rsid w:val="00405119"/>
    <w:rsid w:val="0040598E"/>
    <w:rsid w:val="00406D35"/>
    <w:rsid w:val="00407EC1"/>
    <w:rsid w:val="004100CB"/>
    <w:rsid w:val="004171E1"/>
    <w:rsid w:val="0041786F"/>
    <w:rsid w:val="00422DED"/>
    <w:rsid w:val="004232AD"/>
    <w:rsid w:val="00427D8B"/>
    <w:rsid w:val="0043036E"/>
    <w:rsid w:val="004305AB"/>
    <w:rsid w:val="00431EB9"/>
    <w:rsid w:val="0043407A"/>
    <w:rsid w:val="00436218"/>
    <w:rsid w:val="004408B3"/>
    <w:rsid w:val="00443D9E"/>
    <w:rsid w:val="00447258"/>
    <w:rsid w:val="004478E9"/>
    <w:rsid w:val="00457949"/>
    <w:rsid w:val="00461452"/>
    <w:rsid w:val="00464E76"/>
    <w:rsid w:val="00465506"/>
    <w:rsid w:val="00466C83"/>
    <w:rsid w:val="00466E5D"/>
    <w:rsid w:val="0047077B"/>
    <w:rsid w:val="004732AD"/>
    <w:rsid w:val="004737D6"/>
    <w:rsid w:val="004809DA"/>
    <w:rsid w:val="00483CAD"/>
    <w:rsid w:val="0048556B"/>
    <w:rsid w:val="0048684A"/>
    <w:rsid w:val="00486E91"/>
    <w:rsid w:val="00487388"/>
    <w:rsid w:val="00491CD8"/>
    <w:rsid w:val="00492165"/>
    <w:rsid w:val="00493844"/>
    <w:rsid w:val="004A2807"/>
    <w:rsid w:val="004A357B"/>
    <w:rsid w:val="004A591A"/>
    <w:rsid w:val="004A76AF"/>
    <w:rsid w:val="004A7DCE"/>
    <w:rsid w:val="004B0473"/>
    <w:rsid w:val="004B26A3"/>
    <w:rsid w:val="004B361B"/>
    <w:rsid w:val="004B5426"/>
    <w:rsid w:val="004B6C87"/>
    <w:rsid w:val="004C0891"/>
    <w:rsid w:val="004C0E89"/>
    <w:rsid w:val="004C2CA1"/>
    <w:rsid w:val="004C2EF9"/>
    <w:rsid w:val="004C3357"/>
    <w:rsid w:val="004C36F2"/>
    <w:rsid w:val="004C3F75"/>
    <w:rsid w:val="004C5998"/>
    <w:rsid w:val="004C5C1B"/>
    <w:rsid w:val="004C6DF6"/>
    <w:rsid w:val="004C7C18"/>
    <w:rsid w:val="004C7D96"/>
    <w:rsid w:val="004D0967"/>
    <w:rsid w:val="004D10F4"/>
    <w:rsid w:val="004D19CF"/>
    <w:rsid w:val="004D72A0"/>
    <w:rsid w:val="004E0576"/>
    <w:rsid w:val="004E090C"/>
    <w:rsid w:val="004E1B4E"/>
    <w:rsid w:val="004E2853"/>
    <w:rsid w:val="004E28C5"/>
    <w:rsid w:val="004E360A"/>
    <w:rsid w:val="004E4857"/>
    <w:rsid w:val="004E69B8"/>
    <w:rsid w:val="004E7348"/>
    <w:rsid w:val="004E7A32"/>
    <w:rsid w:val="004E7C26"/>
    <w:rsid w:val="004F10C3"/>
    <w:rsid w:val="004F27F8"/>
    <w:rsid w:val="004F3DBA"/>
    <w:rsid w:val="004F3F88"/>
    <w:rsid w:val="004F65FB"/>
    <w:rsid w:val="004F6DDD"/>
    <w:rsid w:val="00501D98"/>
    <w:rsid w:val="00503EEB"/>
    <w:rsid w:val="005054DE"/>
    <w:rsid w:val="00505C16"/>
    <w:rsid w:val="00506B04"/>
    <w:rsid w:val="00514CEE"/>
    <w:rsid w:val="00516AB0"/>
    <w:rsid w:val="005170CE"/>
    <w:rsid w:val="005217A9"/>
    <w:rsid w:val="005219F8"/>
    <w:rsid w:val="00521F8B"/>
    <w:rsid w:val="005236F9"/>
    <w:rsid w:val="00525391"/>
    <w:rsid w:val="00526937"/>
    <w:rsid w:val="00526AFA"/>
    <w:rsid w:val="00527294"/>
    <w:rsid w:val="00531601"/>
    <w:rsid w:val="0053195B"/>
    <w:rsid w:val="00532940"/>
    <w:rsid w:val="00537A9C"/>
    <w:rsid w:val="00537F47"/>
    <w:rsid w:val="00540031"/>
    <w:rsid w:val="005412E0"/>
    <w:rsid w:val="00547B85"/>
    <w:rsid w:val="00552FAE"/>
    <w:rsid w:val="00553D03"/>
    <w:rsid w:val="00553D54"/>
    <w:rsid w:val="00554052"/>
    <w:rsid w:val="00560CD7"/>
    <w:rsid w:val="005626CE"/>
    <w:rsid w:val="005630D5"/>
    <w:rsid w:val="00563332"/>
    <w:rsid w:val="00564CE7"/>
    <w:rsid w:val="005659C3"/>
    <w:rsid w:val="00571F04"/>
    <w:rsid w:val="005730FD"/>
    <w:rsid w:val="00573A59"/>
    <w:rsid w:val="005768FF"/>
    <w:rsid w:val="00576EA7"/>
    <w:rsid w:val="005840FE"/>
    <w:rsid w:val="005846EB"/>
    <w:rsid w:val="00585402"/>
    <w:rsid w:val="005858D9"/>
    <w:rsid w:val="00586540"/>
    <w:rsid w:val="00586CAE"/>
    <w:rsid w:val="00586E6A"/>
    <w:rsid w:val="00587532"/>
    <w:rsid w:val="00591466"/>
    <w:rsid w:val="00592480"/>
    <w:rsid w:val="00594B24"/>
    <w:rsid w:val="0059515B"/>
    <w:rsid w:val="00596B43"/>
    <w:rsid w:val="005978B7"/>
    <w:rsid w:val="005A03F8"/>
    <w:rsid w:val="005A5DE6"/>
    <w:rsid w:val="005A611A"/>
    <w:rsid w:val="005A7D90"/>
    <w:rsid w:val="005B0324"/>
    <w:rsid w:val="005B2023"/>
    <w:rsid w:val="005B29E6"/>
    <w:rsid w:val="005B3B0D"/>
    <w:rsid w:val="005C1E5C"/>
    <w:rsid w:val="005C339A"/>
    <w:rsid w:val="005C6770"/>
    <w:rsid w:val="005C77D6"/>
    <w:rsid w:val="005C7E01"/>
    <w:rsid w:val="005D016F"/>
    <w:rsid w:val="005D066C"/>
    <w:rsid w:val="005D0CDE"/>
    <w:rsid w:val="005D3601"/>
    <w:rsid w:val="005D6FE0"/>
    <w:rsid w:val="005E3548"/>
    <w:rsid w:val="005E39A4"/>
    <w:rsid w:val="005E3EF9"/>
    <w:rsid w:val="005E58EC"/>
    <w:rsid w:val="005F29FB"/>
    <w:rsid w:val="005F3F08"/>
    <w:rsid w:val="005F4D02"/>
    <w:rsid w:val="005F6B7A"/>
    <w:rsid w:val="005F6E1A"/>
    <w:rsid w:val="005F7211"/>
    <w:rsid w:val="005F7590"/>
    <w:rsid w:val="00601921"/>
    <w:rsid w:val="00601DBD"/>
    <w:rsid w:val="00603B80"/>
    <w:rsid w:val="00604284"/>
    <w:rsid w:val="00611D4F"/>
    <w:rsid w:val="006126E7"/>
    <w:rsid w:val="00614DBA"/>
    <w:rsid w:val="00615813"/>
    <w:rsid w:val="006170A8"/>
    <w:rsid w:val="00621052"/>
    <w:rsid w:val="00623B94"/>
    <w:rsid w:val="00625760"/>
    <w:rsid w:val="006304B1"/>
    <w:rsid w:val="00631835"/>
    <w:rsid w:val="006343DE"/>
    <w:rsid w:val="00634FB8"/>
    <w:rsid w:val="00635836"/>
    <w:rsid w:val="00636104"/>
    <w:rsid w:val="006366E4"/>
    <w:rsid w:val="0063738C"/>
    <w:rsid w:val="00637D4B"/>
    <w:rsid w:val="0064052E"/>
    <w:rsid w:val="00641A7B"/>
    <w:rsid w:val="006436BE"/>
    <w:rsid w:val="00644414"/>
    <w:rsid w:val="006456E2"/>
    <w:rsid w:val="00650962"/>
    <w:rsid w:val="006521F2"/>
    <w:rsid w:val="00652EB3"/>
    <w:rsid w:val="00655F94"/>
    <w:rsid w:val="006567EF"/>
    <w:rsid w:val="00656994"/>
    <w:rsid w:val="00657E13"/>
    <w:rsid w:val="006605A3"/>
    <w:rsid w:val="00664373"/>
    <w:rsid w:val="00665243"/>
    <w:rsid w:val="0066594B"/>
    <w:rsid w:val="00666818"/>
    <w:rsid w:val="00667101"/>
    <w:rsid w:val="006675C0"/>
    <w:rsid w:val="006677B7"/>
    <w:rsid w:val="00672595"/>
    <w:rsid w:val="006729B9"/>
    <w:rsid w:val="00672F7B"/>
    <w:rsid w:val="00673205"/>
    <w:rsid w:val="006754F8"/>
    <w:rsid w:val="00677E3B"/>
    <w:rsid w:val="006806AC"/>
    <w:rsid w:val="00680F44"/>
    <w:rsid w:val="0068108D"/>
    <w:rsid w:val="006851B6"/>
    <w:rsid w:val="00685479"/>
    <w:rsid w:val="00685741"/>
    <w:rsid w:val="00686876"/>
    <w:rsid w:val="00690D1D"/>
    <w:rsid w:val="00694993"/>
    <w:rsid w:val="00694A13"/>
    <w:rsid w:val="0069660C"/>
    <w:rsid w:val="006A09D8"/>
    <w:rsid w:val="006A27DD"/>
    <w:rsid w:val="006A2F27"/>
    <w:rsid w:val="006A3179"/>
    <w:rsid w:val="006A3861"/>
    <w:rsid w:val="006A4DED"/>
    <w:rsid w:val="006A55A6"/>
    <w:rsid w:val="006B2A9F"/>
    <w:rsid w:val="006B3F35"/>
    <w:rsid w:val="006B56A9"/>
    <w:rsid w:val="006B64AA"/>
    <w:rsid w:val="006C0A22"/>
    <w:rsid w:val="006C1770"/>
    <w:rsid w:val="006C1D69"/>
    <w:rsid w:val="006C707E"/>
    <w:rsid w:val="006C7830"/>
    <w:rsid w:val="006D09B9"/>
    <w:rsid w:val="006D4DAA"/>
    <w:rsid w:val="006E0659"/>
    <w:rsid w:val="006E3E25"/>
    <w:rsid w:val="006E4771"/>
    <w:rsid w:val="006E5519"/>
    <w:rsid w:val="006E6171"/>
    <w:rsid w:val="006F4217"/>
    <w:rsid w:val="006F643F"/>
    <w:rsid w:val="006F698D"/>
    <w:rsid w:val="007034F3"/>
    <w:rsid w:val="00706AB3"/>
    <w:rsid w:val="00710325"/>
    <w:rsid w:val="00710AA6"/>
    <w:rsid w:val="00713DB4"/>
    <w:rsid w:val="00714964"/>
    <w:rsid w:val="0071746E"/>
    <w:rsid w:val="007206A8"/>
    <w:rsid w:val="00720D97"/>
    <w:rsid w:val="00721BC9"/>
    <w:rsid w:val="0072428A"/>
    <w:rsid w:val="007243EE"/>
    <w:rsid w:val="007245DC"/>
    <w:rsid w:val="0072545C"/>
    <w:rsid w:val="007269BA"/>
    <w:rsid w:val="00732BF7"/>
    <w:rsid w:val="00733D25"/>
    <w:rsid w:val="007416CF"/>
    <w:rsid w:val="00747161"/>
    <w:rsid w:val="0075108D"/>
    <w:rsid w:val="00753D36"/>
    <w:rsid w:val="007544E3"/>
    <w:rsid w:val="00754D90"/>
    <w:rsid w:val="00755BFE"/>
    <w:rsid w:val="00762816"/>
    <w:rsid w:val="007639B5"/>
    <w:rsid w:val="00763FCD"/>
    <w:rsid w:val="00764555"/>
    <w:rsid w:val="00765C97"/>
    <w:rsid w:val="00765DB7"/>
    <w:rsid w:val="0077626A"/>
    <w:rsid w:val="0077702D"/>
    <w:rsid w:val="00777478"/>
    <w:rsid w:val="00780900"/>
    <w:rsid w:val="0078138B"/>
    <w:rsid w:val="00782305"/>
    <w:rsid w:val="00782489"/>
    <w:rsid w:val="007825E0"/>
    <w:rsid w:val="00784BAE"/>
    <w:rsid w:val="007867C4"/>
    <w:rsid w:val="00786C95"/>
    <w:rsid w:val="00787317"/>
    <w:rsid w:val="0078796D"/>
    <w:rsid w:val="00787B01"/>
    <w:rsid w:val="00787F2B"/>
    <w:rsid w:val="007905B3"/>
    <w:rsid w:val="00793205"/>
    <w:rsid w:val="007939BF"/>
    <w:rsid w:val="007A1392"/>
    <w:rsid w:val="007A5E73"/>
    <w:rsid w:val="007A64D9"/>
    <w:rsid w:val="007A6DD8"/>
    <w:rsid w:val="007B1DF1"/>
    <w:rsid w:val="007B495C"/>
    <w:rsid w:val="007B4D7D"/>
    <w:rsid w:val="007B5B8C"/>
    <w:rsid w:val="007B6273"/>
    <w:rsid w:val="007B6FFB"/>
    <w:rsid w:val="007C239B"/>
    <w:rsid w:val="007C3589"/>
    <w:rsid w:val="007C48DB"/>
    <w:rsid w:val="007C6BAA"/>
    <w:rsid w:val="007D0415"/>
    <w:rsid w:val="007D0448"/>
    <w:rsid w:val="007D097C"/>
    <w:rsid w:val="007D22FE"/>
    <w:rsid w:val="007D3F14"/>
    <w:rsid w:val="007E09E2"/>
    <w:rsid w:val="007E1608"/>
    <w:rsid w:val="007E2D14"/>
    <w:rsid w:val="007E31E4"/>
    <w:rsid w:val="007E4480"/>
    <w:rsid w:val="007E4F2C"/>
    <w:rsid w:val="007E5649"/>
    <w:rsid w:val="007F02EC"/>
    <w:rsid w:val="007F1E90"/>
    <w:rsid w:val="007F23D8"/>
    <w:rsid w:val="007F2AC1"/>
    <w:rsid w:val="007F2C05"/>
    <w:rsid w:val="007F64D4"/>
    <w:rsid w:val="007F696E"/>
    <w:rsid w:val="007F73AF"/>
    <w:rsid w:val="00800843"/>
    <w:rsid w:val="0080543D"/>
    <w:rsid w:val="00805A9A"/>
    <w:rsid w:val="00806B87"/>
    <w:rsid w:val="00806DA6"/>
    <w:rsid w:val="00811A26"/>
    <w:rsid w:val="008134E8"/>
    <w:rsid w:val="00814648"/>
    <w:rsid w:val="00814677"/>
    <w:rsid w:val="00814B11"/>
    <w:rsid w:val="008150F2"/>
    <w:rsid w:val="0081598D"/>
    <w:rsid w:val="00817A4C"/>
    <w:rsid w:val="00817C6A"/>
    <w:rsid w:val="008204C0"/>
    <w:rsid w:val="00820800"/>
    <w:rsid w:val="00821AF5"/>
    <w:rsid w:val="00825889"/>
    <w:rsid w:val="008269DF"/>
    <w:rsid w:val="00834A14"/>
    <w:rsid w:val="0083597A"/>
    <w:rsid w:val="00836043"/>
    <w:rsid w:val="00851E1D"/>
    <w:rsid w:val="008529AB"/>
    <w:rsid w:val="00853529"/>
    <w:rsid w:val="008604CD"/>
    <w:rsid w:val="00864E87"/>
    <w:rsid w:val="008701A4"/>
    <w:rsid w:val="00871378"/>
    <w:rsid w:val="00871708"/>
    <w:rsid w:val="00872B9F"/>
    <w:rsid w:val="00873F8B"/>
    <w:rsid w:val="008769D3"/>
    <w:rsid w:val="00876BBF"/>
    <w:rsid w:val="008802CA"/>
    <w:rsid w:val="00881978"/>
    <w:rsid w:val="00881B6C"/>
    <w:rsid w:val="0088210E"/>
    <w:rsid w:val="008867DD"/>
    <w:rsid w:val="00887154"/>
    <w:rsid w:val="00890545"/>
    <w:rsid w:val="008913A0"/>
    <w:rsid w:val="0089325A"/>
    <w:rsid w:val="00893D69"/>
    <w:rsid w:val="00894CD9"/>
    <w:rsid w:val="00894E68"/>
    <w:rsid w:val="00897900"/>
    <w:rsid w:val="00897914"/>
    <w:rsid w:val="008A1339"/>
    <w:rsid w:val="008A639C"/>
    <w:rsid w:val="008A7ED0"/>
    <w:rsid w:val="008B00C6"/>
    <w:rsid w:val="008B0187"/>
    <w:rsid w:val="008B1E76"/>
    <w:rsid w:val="008B26EB"/>
    <w:rsid w:val="008B3462"/>
    <w:rsid w:val="008B6421"/>
    <w:rsid w:val="008B7E77"/>
    <w:rsid w:val="008C14EF"/>
    <w:rsid w:val="008C2A37"/>
    <w:rsid w:val="008C552F"/>
    <w:rsid w:val="008D04CA"/>
    <w:rsid w:val="008D09BF"/>
    <w:rsid w:val="008D135F"/>
    <w:rsid w:val="008D2E33"/>
    <w:rsid w:val="008D7CA5"/>
    <w:rsid w:val="008E12EF"/>
    <w:rsid w:val="008E305A"/>
    <w:rsid w:val="008E5BF1"/>
    <w:rsid w:val="008E5F4B"/>
    <w:rsid w:val="008E603F"/>
    <w:rsid w:val="008E6226"/>
    <w:rsid w:val="008E63D8"/>
    <w:rsid w:val="008F428A"/>
    <w:rsid w:val="008F47F4"/>
    <w:rsid w:val="008F590E"/>
    <w:rsid w:val="008F6A11"/>
    <w:rsid w:val="008F719C"/>
    <w:rsid w:val="008F7A93"/>
    <w:rsid w:val="009001CF"/>
    <w:rsid w:val="009011A3"/>
    <w:rsid w:val="00903CC4"/>
    <w:rsid w:val="00903E88"/>
    <w:rsid w:val="00903F37"/>
    <w:rsid w:val="00904F78"/>
    <w:rsid w:val="009058DB"/>
    <w:rsid w:val="00907E64"/>
    <w:rsid w:val="00912474"/>
    <w:rsid w:val="00913A94"/>
    <w:rsid w:val="0091679E"/>
    <w:rsid w:val="00916CA6"/>
    <w:rsid w:val="00923306"/>
    <w:rsid w:val="00926771"/>
    <w:rsid w:val="00930C8A"/>
    <w:rsid w:val="00931E27"/>
    <w:rsid w:val="00932047"/>
    <w:rsid w:val="009336EE"/>
    <w:rsid w:val="00933A30"/>
    <w:rsid w:val="00934348"/>
    <w:rsid w:val="00936CEE"/>
    <w:rsid w:val="009404D4"/>
    <w:rsid w:val="00943BFC"/>
    <w:rsid w:val="00943DD0"/>
    <w:rsid w:val="009456E2"/>
    <w:rsid w:val="00945F0B"/>
    <w:rsid w:val="00954AC9"/>
    <w:rsid w:val="00957099"/>
    <w:rsid w:val="009576BE"/>
    <w:rsid w:val="009577D7"/>
    <w:rsid w:val="009606DA"/>
    <w:rsid w:val="00962C3D"/>
    <w:rsid w:val="00964212"/>
    <w:rsid w:val="00964796"/>
    <w:rsid w:val="009663BF"/>
    <w:rsid w:val="00970F35"/>
    <w:rsid w:val="00972EC2"/>
    <w:rsid w:val="00973134"/>
    <w:rsid w:val="00974FEB"/>
    <w:rsid w:val="00976F29"/>
    <w:rsid w:val="00984DFC"/>
    <w:rsid w:val="00991BB8"/>
    <w:rsid w:val="0099344A"/>
    <w:rsid w:val="009A2E89"/>
    <w:rsid w:val="009A4276"/>
    <w:rsid w:val="009A56DD"/>
    <w:rsid w:val="009A5AA5"/>
    <w:rsid w:val="009A6707"/>
    <w:rsid w:val="009A6749"/>
    <w:rsid w:val="009A7D6E"/>
    <w:rsid w:val="009B09E6"/>
    <w:rsid w:val="009B0D90"/>
    <w:rsid w:val="009B2604"/>
    <w:rsid w:val="009B3CC6"/>
    <w:rsid w:val="009B6B61"/>
    <w:rsid w:val="009C1250"/>
    <w:rsid w:val="009C2F4F"/>
    <w:rsid w:val="009C3564"/>
    <w:rsid w:val="009C69C3"/>
    <w:rsid w:val="009D09D6"/>
    <w:rsid w:val="009D1F3E"/>
    <w:rsid w:val="009D275C"/>
    <w:rsid w:val="009D3B28"/>
    <w:rsid w:val="009D3EC8"/>
    <w:rsid w:val="009D4B64"/>
    <w:rsid w:val="009D5B72"/>
    <w:rsid w:val="009D5EDE"/>
    <w:rsid w:val="009D61CD"/>
    <w:rsid w:val="009E2A67"/>
    <w:rsid w:val="009E3CDF"/>
    <w:rsid w:val="009E598A"/>
    <w:rsid w:val="009E5EF9"/>
    <w:rsid w:val="009E79C4"/>
    <w:rsid w:val="009F061C"/>
    <w:rsid w:val="009F0F9B"/>
    <w:rsid w:val="009F4413"/>
    <w:rsid w:val="00A01380"/>
    <w:rsid w:val="00A017DB"/>
    <w:rsid w:val="00A03C2A"/>
    <w:rsid w:val="00A07883"/>
    <w:rsid w:val="00A11991"/>
    <w:rsid w:val="00A12EE8"/>
    <w:rsid w:val="00A13867"/>
    <w:rsid w:val="00A13D06"/>
    <w:rsid w:val="00A14144"/>
    <w:rsid w:val="00A1523C"/>
    <w:rsid w:val="00A1525D"/>
    <w:rsid w:val="00A165DF"/>
    <w:rsid w:val="00A17961"/>
    <w:rsid w:val="00A20535"/>
    <w:rsid w:val="00A22DAA"/>
    <w:rsid w:val="00A23220"/>
    <w:rsid w:val="00A2561E"/>
    <w:rsid w:val="00A273E0"/>
    <w:rsid w:val="00A31258"/>
    <w:rsid w:val="00A32CD9"/>
    <w:rsid w:val="00A32E71"/>
    <w:rsid w:val="00A34000"/>
    <w:rsid w:val="00A36B76"/>
    <w:rsid w:val="00A448FD"/>
    <w:rsid w:val="00A44EC5"/>
    <w:rsid w:val="00A452B7"/>
    <w:rsid w:val="00A456A9"/>
    <w:rsid w:val="00A471C3"/>
    <w:rsid w:val="00A51CE9"/>
    <w:rsid w:val="00A57090"/>
    <w:rsid w:val="00A578D8"/>
    <w:rsid w:val="00A639AD"/>
    <w:rsid w:val="00A647F1"/>
    <w:rsid w:val="00A6499F"/>
    <w:rsid w:val="00A6610C"/>
    <w:rsid w:val="00A70E7E"/>
    <w:rsid w:val="00A7550A"/>
    <w:rsid w:val="00A76AB4"/>
    <w:rsid w:val="00A7759C"/>
    <w:rsid w:val="00A804A2"/>
    <w:rsid w:val="00A81983"/>
    <w:rsid w:val="00A826B5"/>
    <w:rsid w:val="00A87300"/>
    <w:rsid w:val="00A8772C"/>
    <w:rsid w:val="00A905C5"/>
    <w:rsid w:val="00A93276"/>
    <w:rsid w:val="00A94395"/>
    <w:rsid w:val="00A9534B"/>
    <w:rsid w:val="00A96158"/>
    <w:rsid w:val="00A96A96"/>
    <w:rsid w:val="00A97023"/>
    <w:rsid w:val="00AB0667"/>
    <w:rsid w:val="00AB0E5F"/>
    <w:rsid w:val="00AB16F5"/>
    <w:rsid w:val="00AB20F1"/>
    <w:rsid w:val="00AB379D"/>
    <w:rsid w:val="00AB636D"/>
    <w:rsid w:val="00AB70DD"/>
    <w:rsid w:val="00AC1291"/>
    <w:rsid w:val="00AC5085"/>
    <w:rsid w:val="00AC7145"/>
    <w:rsid w:val="00AD2935"/>
    <w:rsid w:val="00AD3D51"/>
    <w:rsid w:val="00AE0BC6"/>
    <w:rsid w:val="00AE3374"/>
    <w:rsid w:val="00AE3D5E"/>
    <w:rsid w:val="00AE6652"/>
    <w:rsid w:val="00AE69E0"/>
    <w:rsid w:val="00AF2B4B"/>
    <w:rsid w:val="00AF330A"/>
    <w:rsid w:val="00AF3409"/>
    <w:rsid w:val="00AF489A"/>
    <w:rsid w:val="00AF69EF"/>
    <w:rsid w:val="00AF6B88"/>
    <w:rsid w:val="00AF793C"/>
    <w:rsid w:val="00AF7980"/>
    <w:rsid w:val="00B01555"/>
    <w:rsid w:val="00B05062"/>
    <w:rsid w:val="00B05FBF"/>
    <w:rsid w:val="00B060A4"/>
    <w:rsid w:val="00B065A1"/>
    <w:rsid w:val="00B104AA"/>
    <w:rsid w:val="00B104B6"/>
    <w:rsid w:val="00B1110B"/>
    <w:rsid w:val="00B12D41"/>
    <w:rsid w:val="00B12F67"/>
    <w:rsid w:val="00B13906"/>
    <w:rsid w:val="00B147B5"/>
    <w:rsid w:val="00B172C3"/>
    <w:rsid w:val="00B17C05"/>
    <w:rsid w:val="00B24DA0"/>
    <w:rsid w:val="00B308F0"/>
    <w:rsid w:val="00B34D5F"/>
    <w:rsid w:val="00B365CF"/>
    <w:rsid w:val="00B377AB"/>
    <w:rsid w:val="00B41213"/>
    <w:rsid w:val="00B42B1A"/>
    <w:rsid w:val="00B442DF"/>
    <w:rsid w:val="00B45C8B"/>
    <w:rsid w:val="00B47437"/>
    <w:rsid w:val="00B50803"/>
    <w:rsid w:val="00B51386"/>
    <w:rsid w:val="00B516C6"/>
    <w:rsid w:val="00B52063"/>
    <w:rsid w:val="00B530FE"/>
    <w:rsid w:val="00B535F3"/>
    <w:rsid w:val="00B544EA"/>
    <w:rsid w:val="00B55604"/>
    <w:rsid w:val="00B559F4"/>
    <w:rsid w:val="00B600BD"/>
    <w:rsid w:val="00B63C45"/>
    <w:rsid w:val="00B659E1"/>
    <w:rsid w:val="00B67A5F"/>
    <w:rsid w:val="00B767B3"/>
    <w:rsid w:val="00B7772D"/>
    <w:rsid w:val="00B809BD"/>
    <w:rsid w:val="00B819AA"/>
    <w:rsid w:val="00B82ADD"/>
    <w:rsid w:val="00B831F4"/>
    <w:rsid w:val="00B83EB7"/>
    <w:rsid w:val="00B851F5"/>
    <w:rsid w:val="00B86294"/>
    <w:rsid w:val="00B862F8"/>
    <w:rsid w:val="00B93E95"/>
    <w:rsid w:val="00B95FFE"/>
    <w:rsid w:val="00B97063"/>
    <w:rsid w:val="00BA0672"/>
    <w:rsid w:val="00BA1FCB"/>
    <w:rsid w:val="00BA3FB0"/>
    <w:rsid w:val="00BA5519"/>
    <w:rsid w:val="00BA7C58"/>
    <w:rsid w:val="00BB20A8"/>
    <w:rsid w:val="00BB2FB0"/>
    <w:rsid w:val="00BB49DC"/>
    <w:rsid w:val="00BB652D"/>
    <w:rsid w:val="00BB7CD9"/>
    <w:rsid w:val="00BC00D8"/>
    <w:rsid w:val="00BC19FE"/>
    <w:rsid w:val="00BC2B77"/>
    <w:rsid w:val="00BC2FD4"/>
    <w:rsid w:val="00BC3848"/>
    <w:rsid w:val="00BC3D0F"/>
    <w:rsid w:val="00BC4ABE"/>
    <w:rsid w:val="00BC5328"/>
    <w:rsid w:val="00BD0801"/>
    <w:rsid w:val="00BD2246"/>
    <w:rsid w:val="00BD2A71"/>
    <w:rsid w:val="00BD2F85"/>
    <w:rsid w:val="00BD52F5"/>
    <w:rsid w:val="00BD547D"/>
    <w:rsid w:val="00BD57AD"/>
    <w:rsid w:val="00BD5ED4"/>
    <w:rsid w:val="00BD6156"/>
    <w:rsid w:val="00BE02A1"/>
    <w:rsid w:val="00BE105B"/>
    <w:rsid w:val="00BE2FA4"/>
    <w:rsid w:val="00BE3553"/>
    <w:rsid w:val="00BE4CCF"/>
    <w:rsid w:val="00BF16C1"/>
    <w:rsid w:val="00BF1E43"/>
    <w:rsid w:val="00BF4489"/>
    <w:rsid w:val="00BF46B5"/>
    <w:rsid w:val="00BF4AE0"/>
    <w:rsid w:val="00C01332"/>
    <w:rsid w:val="00C0290E"/>
    <w:rsid w:val="00C06ABA"/>
    <w:rsid w:val="00C11B24"/>
    <w:rsid w:val="00C1389C"/>
    <w:rsid w:val="00C146BF"/>
    <w:rsid w:val="00C147DD"/>
    <w:rsid w:val="00C15DA4"/>
    <w:rsid w:val="00C171A3"/>
    <w:rsid w:val="00C20646"/>
    <w:rsid w:val="00C267FD"/>
    <w:rsid w:val="00C276F7"/>
    <w:rsid w:val="00C27911"/>
    <w:rsid w:val="00C30306"/>
    <w:rsid w:val="00C31B6E"/>
    <w:rsid w:val="00C35F6A"/>
    <w:rsid w:val="00C4047F"/>
    <w:rsid w:val="00C41565"/>
    <w:rsid w:val="00C4162D"/>
    <w:rsid w:val="00C41C2F"/>
    <w:rsid w:val="00C421CA"/>
    <w:rsid w:val="00C43B37"/>
    <w:rsid w:val="00C452E0"/>
    <w:rsid w:val="00C458DC"/>
    <w:rsid w:val="00C46227"/>
    <w:rsid w:val="00C4728F"/>
    <w:rsid w:val="00C4795F"/>
    <w:rsid w:val="00C50127"/>
    <w:rsid w:val="00C52AB3"/>
    <w:rsid w:val="00C56B77"/>
    <w:rsid w:val="00C57A90"/>
    <w:rsid w:val="00C61587"/>
    <w:rsid w:val="00C64E92"/>
    <w:rsid w:val="00C656E8"/>
    <w:rsid w:val="00C669FB"/>
    <w:rsid w:val="00C70E32"/>
    <w:rsid w:val="00C728D6"/>
    <w:rsid w:val="00C73D43"/>
    <w:rsid w:val="00C74F73"/>
    <w:rsid w:val="00C81DA4"/>
    <w:rsid w:val="00C8243E"/>
    <w:rsid w:val="00C82C78"/>
    <w:rsid w:val="00C85C5B"/>
    <w:rsid w:val="00C87278"/>
    <w:rsid w:val="00C904EE"/>
    <w:rsid w:val="00C909CA"/>
    <w:rsid w:val="00C92F3C"/>
    <w:rsid w:val="00C96BA0"/>
    <w:rsid w:val="00CA0C83"/>
    <w:rsid w:val="00CA1CBF"/>
    <w:rsid w:val="00CA2FB6"/>
    <w:rsid w:val="00CA3E6A"/>
    <w:rsid w:val="00CA50ED"/>
    <w:rsid w:val="00CA59CF"/>
    <w:rsid w:val="00CA736E"/>
    <w:rsid w:val="00CB2117"/>
    <w:rsid w:val="00CB450F"/>
    <w:rsid w:val="00CC3B83"/>
    <w:rsid w:val="00CC489C"/>
    <w:rsid w:val="00CC65CD"/>
    <w:rsid w:val="00CD04AA"/>
    <w:rsid w:val="00CD476F"/>
    <w:rsid w:val="00CD4DBA"/>
    <w:rsid w:val="00CD528A"/>
    <w:rsid w:val="00CD6F89"/>
    <w:rsid w:val="00CD7146"/>
    <w:rsid w:val="00CE0927"/>
    <w:rsid w:val="00CE1C39"/>
    <w:rsid w:val="00CE3AEF"/>
    <w:rsid w:val="00CE4D5A"/>
    <w:rsid w:val="00CF1522"/>
    <w:rsid w:val="00CF1F47"/>
    <w:rsid w:val="00CF27C0"/>
    <w:rsid w:val="00CF3FFF"/>
    <w:rsid w:val="00CF4140"/>
    <w:rsid w:val="00CF6275"/>
    <w:rsid w:val="00CF7582"/>
    <w:rsid w:val="00D00B9A"/>
    <w:rsid w:val="00D04E79"/>
    <w:rsid w:val="00D10892"/>
    <w:rsid w:val="00D1457B"/>
    <w:rsid w:val="00D15596"/>
    <w:rsid w:val="00D1767A"/>
    <w:rsid w:val="00D202E2"/>
    <w:rsid w:val="00D21034"/>
    <w:rsid w:val="00D233AA"/>
    <w:rsid w:val="00D324A8"/>
    <w:rsid w:val="00D32C8E"/>
    <w:rsid w:val="00D33E45"/>
    <w:rsid w:val="00D379E4"/>
    <w:rsid w:val="00D42BE3"/>
    <w:rsid w:val="00D45874"/>
    <w:rsid w:val="00D45877"/>
    <w:rsid w:val="00D50BDE"/>
    <w:rsid w:val="00D52D5D"/>
    <w:rsid w:val="00D5304F"/>
    <w:rsid w:val="00D5681E"/>
    <w:rsid w:val="00D600AF"/>
    <w:rsid w:val="00D61E86"/>
    <w:rsid w:val="00D61EF3"/>
    <w:rsid w:val="00D66289"/>
    <w:rsid w:val="00D71797"/>
    <w:rsid w:val="00D740E6"/>
    <w:rsid w:val="00D75E14"/>
    <w:rsid w:val="00D76A16"/>
    <w:rsid w:val="00D76C00"/>
    <w:rsid w:val="00D80576"/>
    <w:rsid w:val="00D809A7"/>
    <w:rsid w:val="00D80B15"/>
    <w:rsid w:val="00D85226"/>
    <w:rsid w:val="00D91E46"/>
    <w:rsid w:val="00D92367"/>
    <w:rsid w:val="00D92DB8"/>
    <w:rsid w:val="00D94925"/>
    <w:rsid w:val="00D96374"/>
    <w:rsid w:val="00D97634"/>
    <w:rsid w:val="00DA0F5E"/>
    <w:rsid w:val="00DA1C5F"/>
    <w:rsid w:val="00DA1CDA"/>
    <w:rsid w:val="00DA3898"/>
    <w:rsid w:val="00DA3A21"/>
    <w:rsid w:val="00DA438F"/>
    <w:rsid w:val="00DA46D7"/>
    <w:rsid w:val="00DA7DD8"/>
    <w:rsid w:val="00DB1F29"/>
    <w:rsid w:val="00DC2CFB"/>
    <w:rsid w:val="00DC432E"/>
    <w:rsid w:val="00DD2B31"/>
    <w:rsid w:val="00DD343C"/>
    <w:rsid w:val="00DD3F90"/>
    <w:rsid w:val="00DD41D2"/>
    <w:rsid w:val="00DD6910"/>
    <w:rsid w:val="00DD6D2D"/>
    <w:rsid w:val="00DD7817"/>
    <w:rsid w:val="00DE2C51"/>
    <w:rsid w:val="00DE6596"/>
    <w:rsid w:val="00DE74AA"/>
    <w:rsid w:val="00DE787F"/>
    <w:rsid w:val="00DF106E"/>
    <w:rsid w:val="00DF185A"/>
    <w:rsid w:val="00DF28B7"/>
    <w:rsid w:val="00DF576F"/>
    <w:rsid w:val="00E01E1C"/>
    <w:rsid w:val="00E0532D"/>
    <w:rsid w:val="00E10A35"/>
    <w:rsid w:val="00E12009"/>
    <w:rsid w:val="00E14CC4"/>
    <w:rsid w:val="00E14F46"/>
    <w:rsid w:val="00E14FA5"/>
    <w:rsid w:val="00E14FD4"/>
    <w:rsid w:val="00E15934"/>
    <w:rsid w:val="00E230B7"/>
    <w:rsid w:val="00E234F4"/>
    <w:rsid w:val="00E3165B"/>
    <w:rsid w:val="00E319B6"/>
    <w:rsid w:val="00E323CE"/>
    <w:rsid w:val="00E35FBA"/>
    <w:rsid w:val="00E417F3"/>
    <w:rsid w:val="00E42681"/>
    <w:rsid w:val="00E45912"/>
    <w:rsid w:val="00E463A2"/>
    <w:rsid w:val="00E47828"/>
    <w:rsid w:val="00E50813"/>
    <w:rsid w:val="00E51C36"/>
    <w:rsid w:val="00E56193"/>
    <w:rsid w:val="00E573E0"/>
    <w:rsid w:val="00E6012F"/>
    <w:rsid w:val="00E64829"/>
    <w:rsid w:val="00E64E6A"/>
    <w:rsid w:val="00E64FF3"/>
    <w:rsid w:val="00E66318"/>
    <w:rsid w:val="00E6723B"/>
    <w:rsid w:val="00E70AA9"/>
    <w:rsid w:val="00E70E71"/>
    <w:rsid w:val="00E75834"/>
    <w:rsid w:val="00E777BF"/>
    <w:rsid w:val="00E77BB4"/>
    <w:rsid w:val="00E77D2D"/>
    <w:rsid w:val="00E804E6"/>
    <w:rsid w:val="00E814AB"/>
    <w:rsid w:val="00E852B5"/>
    <w:rsid w:val="00E86340"/>
    <w:rsid w:val="00E8646B"/>
    <w:rsid w:val="00E86540"/>
    <w:rsid w:val="00E86F8A"/>
    <w:rsid w:val="00E877A9"/>
    <w:rsid w:val="00E877C8"/>
    <w:rsid w:val="00E90942"/>
    <w:rsid w:val="00E91F66"/>
    <w:rsid w:val="00E92F30"/>
    <w:rsid w:val="00E93461"/>
    <w:rsid w:val="00E93762"/>
    <w:rsid w:val="00E93A99"/>
    <w:rsid w:val="00E961D0"/>
    <w:rsid w:val="00E97767"/>
    <w:rsid w:val="00E979CD"/>
    <w:rsid w:val="00EA098F"/>
    <w:rsid w:val="00EA2E7E"/>
    <w:rsid w:val="00EA2F66"/>
    <w:rsid w:val="00EA2F82"/>
    <w:rsid w:val="00EA33D3"/>
    <w:rsid w:val="00EA491F"/>
    <w:rsid w:val="00EA72AD"/>
    <w:rsid w:val="00EB18ED"/>
    <w:rsid w:val="00EB2619"/>
    <w:rsid w:val="00EB348A"/>
    <w:rsid w:val="00EB76E4"/>
    <w:rsid w:val="00EC15B0"/>
    <w:rsid w:val="00EC23AA"/>
    <w:rsid w:val="00EC2D32"/>
    <w:rsid w:val="00EC3EE6"/>
    <w:rsid w:val="00EC4E6D"/>
    <w:rsid w:val="00EC73B2"/>
    <w:rsid w:val="00ED1403"/>
    <w:rsid w:val="00ED293C"/>
    <w:rsid w:val="00ED2ED7"/>
    <w:rsid w:val="00ED3045"/>
    <w:rsid w:val="00ED339D"/>
    <w:rsid w:val="00ED3943"/>
    <w:rsid w:val="00ED3B29"/>
    <w:rsid w:val="00ED5CD6"/>
    <w:rsid w:val="00EE09CC"/>
    <w:rsid w:val="00EE232E"/>
    <w:rsid w:val="00EE2447"/>
    <w:rsid w:val="00EE6E30"/>
    <w:rsid w:val="00EF4128"/>
    <w:rsid w:val="00EF56B8"/>
    <w:rsid w:val="00EF7AF6"/>
    <w:rsid w:val="00F008EB"/>
    <w:rsid w:val="00F00A8F"/>
    <w:rsid w:val="00F00F0D"/>
    <w:rsid w:val="00F04EA8"/>
    <w:rsid w:val="00F053BB"/>
    <w:rsid w:val="00F065B7"/>
    <w:rsid w:val="00F07603"/>
    <w:rsid w:val="00F10689"/>
    <w:rsid w:val="00F14B2A"/>
    <w:rsid w:val="00F20E6F"/>
    <w:rsid w:val="00F21A79"/>
    <w:rsid w:val="00F23DCA"/>
    <w:rsid w:val="00F26180"/>
    <w:rsid w:val="00F27BB8"/>
    <w:rsid w:val="00F32530"/>
    <w:rsid w:val="00F32995"/>
    <w:rsid w:val="00F35EE6"/>
    <w:rsid w:val="00F36A68"/>
    <w:rsid w:val="00F43D71"/>
    <w:rsid w:val="00F44284"/>
    <w:rsid w:val="00F442D3"/>
    <w:rsid w:val="00F4503E"/>
    <w:rsid w:val="00F451A8"/>
    <w:rsid w:val="00F46366"/>
    <w:rsid w:val="00F51A36"/>
    <w:rsid w:val="00F51D2F"/>
    <w:rsid w:val="00F524B3"/>
    <w:rsid w:val="00F57226"/>
    <w:rsid w:val="00F57652"/>
    <w:rsid w:val="00F60292"/>
    <w:rsid w:val="00F62097"/>
    <w:rsid w:val="00F669FC"/>
    <w:rsid w:val="00F6739B"/>
    <w:rsid w:val="00F71363"/>
    <w:rsid w:val="00F72779"/>
    <w:rsid w:val="00F73630"/>
    <w:rsid w:val="00F73B93"/>
    <w:rsid w:val="00F75AC8"/>
    <w:rsid w:val="00F76290"/>
    <w:rsid w:val="00F7729D"/>
    <w:rsid w:val="00F8135D"/>
    <w:rsid w:val="00F81F32"/>
    <w:rsid w:val="00F83B35"/>
    <w:rsid w:val="00F85704"/>
    <w:rsid w:val="00F861D6"/>
    <w:rsid w:val="00F86D02"/>
    <w:rsid w:val="00F87756"/>
    <w:rsid w:val="00F92A3D"/>
    <w:rsid w:val="00F93781"/>
    <w:rsid w:val="00F95A20"/>
    <w:rsid w:val="00FA3448"/>
    <w:rsid w:val="00FA3AC6"/>
    <w:rsid w:val="00FA455E"/>
    <w:rsid w:val="00FA66FA"/>
    <w:rsid w:val="00FB1213"/>
    <w:rsid w:val="00FB31B9"/>
    <w:rsid w:val="00FB42E1"/>
    <w:rsid w:val="00FB4733"/>
    <w:rsid w:val="00FB6321"/>
    <w:rsid w:val="00FB6451"/>
    <w:rsid w:val="00FC32C9"/>
    <w:rsid w:val="00FC40A6"/>
    <w:rsid w:val="00FC48E5"/>
    <w:rsid w:val="00FC768F"/>
    <w:rsid w:val="00FC7779"/>
    <w:rsid w:val="00FC7BED"/>
    <w:rsid w:val="00FD09FD"/>
    <w:rsid w:val="00FD1002"/>
    <w:rsid w:val="00FD1758"/>
    <w:rsid w:val="00FD50C4"/>
    <w:rsid w:val="00FD56BF"/>
    <w:rsid w:val="00FD64E2"/>
    <w:rsid w:val="00FD67A5"/>
    <w:rsid w:val="00FD6C74"/>
    <w:rsid w:val="00FE0546"/>
    <w:rsid w:val="00FE1E18"/>
    <w:rsid w:val="00FE2203"/>
    <w:rsid w:val="00FE2978"/>
    <w:rsid w:val="00FE6181"/>
    <w:rsid w:val="00FE7EE4"/>
    <w:rsid w:val="00FF0673"/>
    <w:rsid w:val="00FF2567"/>
    <w:rsid w:val="00FF72EC"/>
    <w:rsid w:val="00FF73FD"/>
    <w:rsid w:val="00FF75A6"/>
    <w:rsid w:val="00FF7F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BF24EB"/>
  <w15:chartTrackingRefBased/>
  <w15:docId w15:val="{0F54DC2D-4958-424E-8903-16D41F610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40" w:line="360" w:lineRule="auto"/>
      </w:pPr>
    </w:pPrDefault>
  </w:docDefaults>
  <w:latentStyles w:defLockedState="1" w:defUIPriority="99" w:defSemiHidden="0" w:defUnhideWhenUsed="0" w:defQFormat="0" w:count="376">
    <w:lsdException w:name="Normal" w:locked="0" w:uiPriority="0" w:qFormat="1"/>
    <w:lsdException w:name="heading 1" w:locked="0" w:uiPriority="9"/>
    <w:lsdException w:name="heading 2" w:locked="0" w:semiHidden="1" w:uiPriority="9" w:unhideWhenUsed="1"/>
    <w:lsdException w:name="heading 3" w:locked="0" w:semiHidden="1" w:uiPriority="9" w:unhideWhenUsed="1"/>
    <w:lsdException w:name="heading 4" w:locked="0" w:semiHidden="1" w:uiPriority="9" w:unhideWhenUsed="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locked="0" w:uiPriority="39"/>
    <w:lsdException w:name="toc 2" w:locked="0" w:uiPriority="39"/>
    <w:lsdException w:name="toc 3" w:locked="0" w:uiPriority="39"/>
    <w:lsdException w:name="toc 4" w:locked="0"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locked="0" w:semiHidden="1"/>
    <w:lsdException w:name="annotation text" w:semiHidden="1"/>
    <w:lsdException w:name="header" w:locked="0" w:semiHidden="1" w:unhideWhenUsed="1"/>
    <w:lsdException w:name="footer" w:locked="0" w:semiHidden="1" w:unhideWhenUsed="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locked="0" w:semiHidden="1"/>
    <w:lsdException w:name="annotation reference" w:semiHidden="1"/>
    <w:lsdException w:name="line number" w:semiHidden="1"/>
    <w:lsdException w:name="page number" w:semiHidden="1"/>
    <w:lsdException w:name="endnote reference" w:locked="0" w:semiHidden="1"/>
    <w:lsdException w:name="endnote text" w:locked="0" w:semiHidden="1"/>
    <w:lsdException w:name="table of authorities" w:semiHidden="1"/>
    <w:lsdException w:name="macro" w:semiHidden="1"/>
    <w:lsdException w:name="toa heading" w:locked="0"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locked="0" w:semiHidden="1"/>
    <w:lsdException w:name="FollowedHyperlink" w:locked="0"/>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semiHidden="1" w:uiPriority="34" w:qFormat="1"/>
    <w:lsdException w:name="Quote" w:locked="0"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locked="0"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4737D6"/>
    <w:rPr>
      <w:rFonts w:ascii="Arial" w:hAnsi="Arial"/>
      <w:sz w:val="24"/>
    </w:rPr>
  </w:style>
  <w:style w:type="paragraph" w:styleId="Heading1">
    <w:name w:val="heading 1"/>
    <w:basedOn w:val="Normal"/>
    <w:next w:val="Normal"/>
    <w:link w:val="Heading1Char"/>
    <w:uiPriority w:val="9"/>
    <w:rsid w:val="00B1110B"/>
    <w:pPr>
      <w:keepNext/>
      <w:keepLines/>
      <w:spacing w:before="720"/>
      <w:outlineLvl w:val="0"/>
    </w:pPr>
    <w:rPr>
      <w:rFonts w:eastAsiaTheme="majorEastAsia" w:cstheme="majorBidi"/>
      <w:b/>
      <w:color w:val="43358B"/>
      <w:sz w:val="36"/>
      <w:szCs w:val="36"/>
    </w:rPr>
  </w:style>
  <w:style w:type="paragraph" w:styleId="Heading2">
    <w:name w:val="heading 2"/>
    <w:basedOn w:val="Normal"/>
    <w:next w:val="Normal"/>
    <w:link w:val="Heading2Char"/>
    <w:uiPriority w:val="9"/>
    <w:rsid w:val="00B1110B"/>
    <w:pPr>
      <w:keepNext/>
      <w:keepLines/>
      <w:spacing w:before="480"/>
      <w:outlineLvl w:val="1"/>
    </w:pPr>
    <w:rPr>
      <w:rFonts w:eastAsiaTheme="majorEastAsia" w:cstheme="majorBidi"/>
      <w:b/>
      <w:color w:val="43358B"/>
      <w:sz w:val="32"/>
      <w:szCs w:val="32"/>
    </w:rPr>
  </w:style>
  <w:style w:type="paragraph" w:styleId="Heading3">
    <w:name w:val="heading 3"/>
    <w:basedOn w:val="Heading2"/>
    <w:next w:val="Normal"/>
    <w:link w:val="Heading3Char"/>
    <w:uiPriority w:val="9"/>
    <w:rsid w:val="00B1110B"/>
    <w:pPr>
      <w:outlineLvl w:val="2"/>
    </w:pPr>
    <w:rPr>
      <w:rFonts w:cs="Arial"/>
      <w:bCs/>
      <w:color w:val="000000" w:themeColor="text1"/>
      <w:sz w:val="28"/>
      <w:szCs w:val="28"/>
    </w:rPr>
  </w:style>
  <w:style w:type="paragraph" w:styleId="Heading4">
    <w:name w:val="heading 4"/>
    <w:basedOn w:val="Heading3"/>
    <w:next w:val="Normal"/>
    <w:link w:val="Heading4Char"/>
    <w:uiPriority w:val="9"/>
    <w:rsid w:val="00B1110B"/>
    <w:pPr>
      <w:outlineLvl w:val="3"/>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ublicationTitle">
    <w:name w:val="Publication Title"/>
    <w:basedOn w:val="Normal"/>
    <w:autoRedefine/>
    <w:qFormat/>
    <w:rsid w:val="00DA3A21"/>
    <w:pPr>
      <w:spacing w:before="120" w:line="312" w:lineRule="auto"/>
    </w:pPr>
    <w:rPr>
      <w:b/>
      <w:color w:val="43358B"/>
      <w:spacing w:val="-20"/>
      <w:sz w:val="56"/>
    </w:rPr>
  </w:style>
  <w:style w:type="paragraph" w:customStyle="1" w:styleId="Publicationsubtitle">
    <w:name w:val="Publication subtitle"/>
    <w:basedOn w:val="PublicationTitle"/>
    <w:autoRedefine/>
    <w:qFormat/>
    <w:rsid w:val="00DD6910"/>
    <w:rPr>
      <w:spacing w:val="0"/>
      <w:sz w:val="36"/>
    </w:rPr>
  </w:style>
  <w:style w:type="paragraph" w:customStyle="1" w:styleId="Publicationdate">
    <w:name w:val="Publication date"/>
    <w:basedOn w:val="PublicationTitle"/>
    <w:autoRedefine/>
    <w:qFormat/>
    <w:rsid w:val="00E961D0"/>
    <w:pPr>
      <w:spacing w:line="360" w:lineRule="exact"/>
    </w:pPr>
    <w:rPr>
      <w:b w:val="0"/>
      <w:bCs/>
      <w:color w:val="auto"/>
      <w:spacing w:val="0"/>
      <w:sz w:val="36"/>
    </w:rPr>
  </w:style>
  <w:style w:type="character" w:styleId="PlaceholderText">
    <w:name w:val="Placeholder Text"/>
    <w:basedOn w:val="DefaultParagraphFont"/>
    <w:uiPriority w:val="99"/>
    <w:semiHidden/>
    <w:locked/>
    <w:rsid w:val="00677E3B"/>
    <w:rPr>
      <w:color w:val="808080"/>
    </w:rPr>
  </w:style>
  <w:style w:type="paragraph" w:styleId="Header">
    <w:name w:val="header"/>
    <w:basedOn w:val="Normal"/>
    <w:link w:val="HeaderChar"/>
    <w:uiPriority w:val="99"/>
    <w:rsid w:val="00E234F4"/>
    <w:pPr>
      <w:tabs>
        <w:tab w:val="right" w:pos="9752"/>
      </w:tabs>
      <w:spacing w:after="0"/>
    </w:pPr>
  </w:style>
  <w:style w:type="character" w:customStyle="1" w:styleId="HeaderChar">
    <w:name w:val="Header Char"/>
    <w:basedOn w:val="DefaultParagraphFont"/>
    <w:link w:val="Header"/>
    <w:uiPriority w:val="99"/>
    <w:rsid w:val="00E234F4"/>
    <w:rPr>
      <w:rFonts w:ascii="Arial" w:hAnsi="Arial"/>
      <w:sz w:val="24"/>
    </w:rPr>
  </w:style>
  <w:style w:type="paragraph" w:styleId="Footer">
    <w:name w:val="footer"/>
    <w:basedOn w:val="Normal"/>
    <w:link w:val="FooterChar"/>
    <w:uiPriority w:val="99"/>
    <w:rsid w:val="00045D32"/>
    <w:pPr>
      <w:tabs>
        <w:tab w:val="center" w:pos="4513"/>
        <w:tab w:val="right" w:pos="9026"/>
      </w:tabs>
      <w:spacing w:after="0"/>
    </w:pPr>
  </w:style>
  <w:style w:type="character" w:customStyle="1" w:styleId="FooterChar">
    <w:name w:val="Footer Char"/>
    <w:basedOn w:val="DefaultParagraphFont"/>
    <w:link w:val="Footer"/>
    <w:uiPriority w:val="99"/>
    <w:rsid w:val="007867C4"/>
    <w:rPr>
      <w:rFonts w:ascii="Arial" w:hAnsi="Arial"/>
      <w:sz w:val="24"/>
    </w:rPr>
  </w:style>
  <w:style w:type="paragraph" w:customStyle="1" w:styleId="TableHead">
    <w:name w:val="Table Head"/>
    <w:basedOn w:val="Normal"/>
    <w:link w:val="TableHeadChar"/>
    <w:qFormat/>
    <w:rsid w:val="00B1110B"/>
    <w:pPr>
      <w:spacing w:before="20" w:after="20" w:line="288" w:lineRule="auto"/>
    </w:pPr>
    <w:rPr>
      <w:b/>
      <w:color w:val="FFFFFF" w:themeColor="background1"/>
      <w:szCs w:val="24"/>
    </w:rPr>
  </w:style>
  <w:style w:type="paragraph" w:customStyle="1" w:styleId="TableBody">
    <w:name w:val="Table Body"/>
    <w:basedOn w:val="TableHead"/>
    <w:link w:val="TableBodyChar"/>
    <w:qFormat/>
    <w:rsid w:val="00B1110B"/>
    <w:rPr>
      <w:b w:val="0"/>
      <w:color w:val="262626" w:themeColor="text1" w:themeTint="D9"/>
    </w:rPr>
  </w:style>
  <w:style w:type="paragraph" w:customStyle="1" w:styleId="ContentsHeader">
    <w:name w:val="Contents Header"/>
    <w:basedOn w:val="Heading1"/>
    <w:link w:val="ContentsHeaderChar"/>
    <w:semiHidden/>
    <w:qFormat/>
    <w:locked/>
    <w:rsid w:val="00B1110B"/>
    <w:pPr>
      <w:spacing w:before="480" w:line="320" w:lineRule="exact"/>
    </w:pPr>
    <w:rPr>
      <w:szCs w:val="28"/>
    </w:rPr>
  </w:style>
  <w:style w:type="character" w:customStyle="1" w:styleId="ContentsHeaderChar">
    <w:name w:val="Contents Header Char"/>
    <w:basedOn w:val="Heading1Char"/>
    <w:link w:val="ContentsHeader"/>
    <w:semiHidden/>
    <w:rsid w:val="00B1110B"/>
    <w:rPr>
      <w:rFonts w:ascii="Arial" w:eastAsiaTheme="majorEastAsia" w:hAnsi="Arial" w:cstheme="majorBidi"/>
      <w:b/>
      <w:color w:val="43358B"/>
      <w:sz w:val="36"/>
      <w:szCs w:val="28"/>
    </w:rPr>
  </w:style>
  <w:style w:type="character" w:customStyle="1" w:styleId="TableHeadChar">
    <w:name w:val="Table Head Char"/>
    <w:basedOn w:val="DefaultParagraphFont"/>
    <w:link w:val="TableHead"/>
    <w:rsid w:val="00B1110B"/>
    <w:rPr>
      <w:rFonts w:ascii="Arial" w:hAnsi="Arial"/>
      <w:b/>
      <w:color w:val="FFFFFF" w:themeColor="background1"/>
      <w:sz w:val="24"/>
      <w:szCs w:val="24"/>
    </w:rPr>
  </w:style>
  <w:style w:type="character" w:customStyle="1" w:styleId="TableBodyChar">
    <w:name w:val="Table Body Char"/>
    <w:basedOn w:val="TableHeadChar"/>
    <w:link w:val="TableBody"/>
    <w:rsid w:val="00B1110B"/>
    <w:rPr>
      <w:rFonts w:ascii="Arial" w:hAnsi="Arial"/>
      <w:b w:val="0"/>
      <w:color w:val="262626" w:themeColor="text1" w:themeTint="D9"/>
      <w:sz w:val="24"/>
      <w:szCs w:val="24"/>
    </w:rPr>
  </w:style>
  <w:style w:type="character" w:customStyle="1" w:styleId="Heading1Char">
    <w:name w:val="Heading 1 Char"/>
    <w:basedOn w:val="DefaultParagraphFont"/>
    <w:link w:val="Heading1"/>
    <w:uiPriority w:val="9"/>
    <w:rsid w:val="00B1110B"/>
    <w:rPr>
      <w:rFonts w:ascii="Arial" w:eastAsiaTheme="majorEastAsia" w:hAnsi="Arial" w:cstheme="majorBidi"/>
      <w:b/>
      <w:color w:val="43358B"/>
      <w:sz w:val="36"/>
      <w:szCs w:val="36"/>
    </w:rPr>
  </w:style>
  <w:style w:type="character" w:customStyle="1" w:styleId="Heading2Char">
    <w:name w:val="Heading 2 Char"/>
    <w:basedOn w:val="DefaultParagraphFont"/>
    <w:link w:val="Heading2"/>
    <w:uiPriority w:val="9"/>
    <w:rsid w:val="00B1110B"/>
    <w:rPr>
      <w:rFonts w:ascii="Arial" w:eastAsiaTheme="majorEastAsia" w:hAnsi="Arial" w:cstheme="majorBidi"/>
      <w:b/>
      <w:color w:val="43358B"/>
      <w:sz w:val="32"/>
      <w:szCs w:val="32"/>
    </w:rPr>
  </w:style>
  <w:style w:type="character" w:customStyle="1" w:styleId="Heading3Char">
    <w:name w:val="Heading 3 Char"/>
    <w:basedOn w:val="DefaultParagraphFont"/>
    <w:link w:val="Heading3"/>
    <w:uiPriority w:val="9"/>
    <w:rsid w:val="00B1110B"/>
    <w:rPr>
      <w:rFonts w:ascii="Arial" w:eastAsiaTheme="majorEastAsia" w:hAnsi="Arial" w:cs="Arial"/>
      <w:b/>
      <w:bCs/>
      <w:color w:val="000000" w:themeColor="text1"/>
      <w:sz w:val="28"/>
      <w:szCs w:val="28"/>
    </w:rPr>
  </w:style>
  <w:style w:type="character" w:customStyle="1" w:styleId="Heading4Char">
    <w:name w:val="Heading 4 Char"/>
    <w:basedOn w:val="DefaultParagraphFont"/>
    <w:link w:val="Heading4"/>
    <w:uiPriority w:val="9"/>
    <w:rsid w:val="00B1110B"/>
    <w:rPr>
      <w:rFonts w:ascii="Arial" w:eastAsiaTheme="majorEastAsia" w:hAnsi="Arial" w:cs="Arial"/>
      <w:b/>
      <w:bCs/>
      <w:color w:val="000000" w:themeColor="text1"/>
      <w:sz w:val="24"/>
      <w:szCs w:val="24"/>
    </w:rPr>
  </w:style>
  <w:style w:type="table" w:styleId="TableGrid">
    <w:name w:val="Table Grid"/>
    <w:aliases w:val="PHS table"/>
    <w:basedOn w:val="TableNormal"/>
    <w:uiPriority w:val="59"/>
    <w:rsid w:val="009D3B28"/>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68" w:type="dxa"/>
        <w:bottom w:w="68" w:type="dxa"/>
        <w:right w:w="68" w:type="dxa"/>
      </w:tblCellMar>
    </w:tblPr>
    <w:tblStylePr w:type="firstRow">
      <w:pPr>
        <w:jc w:val="left"/>
      </w:pPr>
      <w:rPr>
        <w:rFonts w:ascii="Arial" w:hAnsi="Arial"/>
        <w:b w:val="0"/>
        <w:i w:val="0"/>
        <w:color w:val="FFFFFF" w:themeColor="background1"/>
        <w:sz w:val="22"/>
        <w:u w:val="none"/>
      </w:rPr>
      <w:tblPr/>
      <w:trPr>
        <w:tblHeader/>
      </w:trPr>
      <w:tcPr>
        <w:shd w:val="clear" w:color="auto" w:fill="43358B"/>
      </w:tcPr>
    </w:tblStylePr>
    <w:tblStylePr w:type="lastRow">
      <w:rPr>
        <w:b/>
      </w:rPr>
    </w:tblStylePr>
  </w:style>
  <w:style w:type="paragraph" w:customStyle="1" w:styleId="Tableorchartcaption">
    <w:name w:val="Table or chart caption"/>
    <w:basedOn w:val="Normal"/>
    <w:qFormat/>
    <w:rsid w:val="00B1110B"/>
    <w:pPr>
      <w:spacing w:before="360" w:after="0"/>
    </w:pPr>
    <w:rPr>
      <w:rFonts w:eastAsia="Times New Roman" w:cs="Arial"/>
      <w:b/>
      <w:color w:val="43358B"/>
      <w:sz w:val="28"/>
      <w:szCs w:val="28"/>
      <w:lang w:eastAsia="en-GB"/>
    </w:rPr>
  </w:style>
  <w:style w:type="character" w:customStyle="1" w:styleId="Superscript">
    <w:name w:val="Superscript"/>
    <w:basedOn w:val="DefaultParagraphFont"/>
    <w:uiPriority w:val="1"/>
    <w:qFormat/>
    <w:rsid w:val="00B1110B"/>
    <w:rPr>
      <w:rFonts w:cs="Arial"/>
      <w:vertAlign w:val="superscript"/>
    </w:rPr>
  </w:style>
  <w:style w:type="paragraph" w:styleId="ListParagraph">
    <w:name w:val="List Paragraph"/>
    <w:basedOn w:val="Normal"/>
    <w:uiPriority w:val="34"/>
    <w:semiHidden/>
    <w:qFormat/>
    <w:locked/>
    <w:rsid w:val="00B1110B"/>
    <w:pPr>
      <w:ind w:left="720"/>
      <w:contextualSpacing/>
    </w:pPr>
  </w:style>
  <w:style w:type="paragraph" w:customStyle="1" w:styleId="Bullet1">
    <w:name w:val="Bullet 1"/>
    <w:basedOn w:val="ListParagraph"/>
    <w:qFormat/>
    <w:rsid w:val="002961B4"/>
    <w:pPr>
      <w:numPr>
        <w:numId w:val="3"/>
      </w:numPr>
      <w:ind w:left="680" w:hanging="340"/>
      <w:contextualSpacing w:val="0"/>
    </w:pPr>
  </w:style>
  <w:style w:type="paragraph" w:customStyle="1" w:styleId="Bullet2">
    <w:name w:val="Bullet 2"/>
    <w:basedOn w:val="Bullet1"/>
    <w:qFormat/>
    <w:rsid w:val="003504BB"/>
    <w:pPr>
      <w:numPr>
        <w:numId w:val="4"/>
      </w:numPr>
      <w:ind w:left="1247" w:hanging="340"/>
    </w:pPr>
  </w:style>
  <w:style w:type="character" w:customStyle="1" w:styleId="Tablebodyde-emphasis">
    <w:name w:val="Table body de-emphasis"/>
    <w:basedOn w:val="DefaultParagraphFont"/>
    <w:uiPriority w:val="1"/>
    <w:semiHidden/>
    <w:qFormat/>
    <w:rsid w:val="00EB348A"/>
    <w:rPr>
      <w:color w:val="595959"/>
    </w:rPr>
  </w:style>
  <w:style w:type="character" w:customStyle="1" w:styleId="Bold">
    <w:name w:val="Bold"/>
    <w:basedOn w:val="DefaultParagraphFont"/>
    <w:uiPriority w:val="1"/>
    <w:qFormat/>
    <w:rsid w:val="00B1110B"/>
    <w:rPr>
      <w:rFonts w:cs="Arial"/>
      <w:b/>
      <w:color w:val="auto"/>
    </w:rPr>
  </w:style>
  <w:style w:type="paragraph" w:customStyle="1" w:styleId="Hyperlink1">
    <w:name w:val="Hyperlink1"/>
    <w:basedOn w:val="Normal"/>
    <w:next w:val="Normal"/>
    <w:link w:val="hyperlinkChar"/>
    <w:autoRedefine/>
    <w:semiHidden/>
    <w:qFormat/>
    <w:locked/>
    <w:rsid w:val="00B1110B"/>
    <w:pPr>
      <w:spacing w:after="120" w:line="320" w:lineRule="exact"/>
    </w:pPr>
    <w:rPr>
      <w:color w:val="964091"/>
      <w:u w:val="single"/>
    </w:rPr>
  </w:style>
  <w:style w:type="character" w:customStyle="1" w:styleId="hyperlinkChar">
    <w:name w:val="hyperlink Char"/>
    <w:basedOn w:val="DefaultParagraphFont"/>
    <w:link w:val="Hyperlink1"/>
    <w:semiHidden/>
    <w:rsid w:val="00B1110B"/>
    <w:rPr>
      <w:rFonts w:ascii="Arial" w:hAnsi="Arial"/>
      <w:color w:val="964091"/>
      <w:sz w:val="24"/>
      <w:u w:val="single"/>
    </w:rPr>
  </w:style>
  <w:style w:type="paragraph" w:customStyle="1" w:styleId="Coverdisclaimer">
    <w:name w:val="Cover disclaimer"/>
    <w:basedOn w:val="Normal"/>
    <w:qFormat/>
    <w:rsid w:val="004C6DF6"/>
    <w:pPr>
      <w:spacing w:after="0"/>
    </w:pPr>
    <w:rPr>
      <w:rFonts w:cs="Arial"/>
      <w:bCs/>
    </w:rPr>
  </w:style>
  <w:style w:type="paragraph" w:styleId="TOCHeading">
    <w:name w:val="TOC Heading"/>
    <w:basedOn w:val="Heading1"/>
    <w:next w:val="Normal"/>
    <w:uiPriority w:val="39"/>
    <w:qFormat/>
    <w:rsid w:val="00FB6451"/>
    <w:pPr>
      <w:spacing w:before="0" w:after="120"/>
      <w:outlineLvl w:val="9"/>
    </w:pPr>
    <w:rPr>
      <w:sz w:val="32"/>
      <w:szCs w:val="32"/>
      <w:lang w:val="en-US"/>
    </w:rPr>
  </w:style>
  <w:style w:type="character" w:styleId="Hyperlink">
    <w:name w:val="Hyperlink"/>
    <w:basedOn w:val="DefaultParagraphFont"/>
    <w:uiPriority w:val="99"/>
    <w:rsid w:val="003A082D"/>
    <w:rPr>
      <w:b/>
      <w:bCs/>
      <w:color w:val="43358B"/>
    </w:rPr>
  </w:style>
  <w:style w:type="character" w:customStyle="1" w:styleId="UnresolvedMention1">
    <w:name w:val="Unresolved Mention1"/>
    <w:basedOn w:val="DefaultParagraphFont"/>
    <w:uiPriority w:val="99"/>
    <w:semiHidden/>
    <w:locked/>
    <w:rsid w:val="007F23D8"/>
    <w:rPr>
      <w:color w:val="605E5C"/>
      <w:shd w:val="clear" w:color="auto" w:fill="E1DFDD"/>
    </w:rPr>
  </w:style>
  <w:style w:type="paragraph" w:styleId="TOC1">
    <w:name w:val="toc 1"/>
    <w:basedOn w:val="Normal"/>
    <w:next w:val="TOC2"/>
    <w:autoRedefine/>
    <w:uiPriority w:val="39"/>
    <w:rsid w:val="00E10A35"/>
    <w:pPr>
      <w:tabs>
        <w:tab w:val="right" w:pos="8902"/>
      </w:tabs>
      <w:spacing w:after="160" w:line="288" w:lineRule="auto"/>
      <w:ind w:right="1134"/>
    </w:pPr>
    <w:rPr>
      <w:noProof/>
    </w:rPr>
  </w:style>
  <w:style w:type="paragraph" w:styleId="TOC2">
    <w:name w:val="toc 2"/>
    <w:basedOn w:val="TOC1"/>
    <w:next w:val="TOC3"/>
    <w:autoRedefine/>
    <w:uiPriority w:val="39"/>
    <w:rsid w:val="00D97634"/>
    <w:pPr>
      <w:ind w:left="240"/>
    </w:pPr>
  </w:style>
  <w:style w:type="paragraph" w:styleId="TOC3">
    <w:name w:val="toc 3"/>
    <w:basedOn w:val="TOC2"/>
    <w:next w:val="TOC4"/>
    <w:autoRedefine/>
    <w:uiPriority w:val="39"/>
    <w:rsid w:val="000D322E"/>
    <w:pPr>
      <w:ind w:left="480"/>
    </w:pPr>
  </w:style>
  <w:style w:type="paragraph" w:styleId="TOC4">
    <w:name w:val="toc 4"/>
    <w:basedOn w:val="TOC3"/>
    <w:autoRedefine/>
    <w:uiPriority w:val="39"/>
    <w:rsid w:val="000D322E"/>
    <w:pPr>
      <w:ind w:left="720"/>
    </w:pPr>
  </w:style>
  <w:style w:type="paragraph" w:customStyle="1" w:styleId="Heading1numbered">
    <w:name w:val="Heading 1 numbered"/>
    <w:basedOn w:val="Heading1"/>
    <w:next w:val="Normal"/>
    <w:link w:val="Heading1numberedChar"/>
    <w:rsid w:val="008E5F4B"/>
    <w:pPr>
      <w:numPr>
        <w:numId w:val="8"/>
      </w:numPr>
    </w:pPr>
  </w:style>
  <w:style w:type="paragraph" w:customStyle="1" w:styleId="Heading2numbered">
    <w:name w:val="Heading 2 numbered"/>
    <w:basedOn w:val="Heading2"/>
    <w:next w:val="Normal"/>
    <w:link w:val="Heading2numberedChar"/>
    <w:rsid w:val="00817C6A"/>
  </w:style>
  <w:style w:type="paragraph" w:customStyle="1" w:styleId="Normalindented">
    <w:name w:val="Normal indented"/>
    <w:basedOn w:val="Normal"/>
    <w:qFormat/>
    <w:rsid w:val="00B1110B"/>
    <w:pPr>
      <w:ind w:left="851"/>
    </w:pPr>
  </w:style>
  <w:style w:type="paragraph" w:customStyle="1" w:styleId="Heading3numbered">
    <w:name w:val="Heading 3 numbered"/>
    <w:basedOn w:val="Heading3"/>
    <w:next w:val="Normal"/>
    <w:link w:val="Heading3numberedChar"/>
    <w:rsid w:val="008E5F4B"/>
    <w:pPr>
      <w:numPr>
        <w:ilvl w:val="2"/>
        <w:numId w:val="8"/>
      </w:numPr>
    </w:pPr>
  </w:style>
  <w:style w:type="paragraph" w:customStyle="1" w:styleId="Heading4numbered">
    <w:name w:val="Heading 4 numbered"/>
    <w:basedOn w:val="Heading4"/>
    <w:next w:val="Normal"/>
    <w:link w:val="Heading4numberedChar"/>
    <w:rsid w:val="008E5F4B"/>
    <w:pPr>
      <w:numPr>
        <w:ilvl w:val="3"/>
        <w:numId w:val="8"/>
      </w:numPr>
    </w:pPr>
    <w:rPr>
      <w:bCs w:val="0"/>
    </w:rPr>
  </w:style>
  <w:style w:type="paragraph" w:styleId="FootnoteText">
    <w:name w:val="footnote text"/>
    <w:basedOn w:val="Normal"/>
    <w:link w:val="FootnoteTextChar"/>
    <w:uiPriority w:val="99"/>
    <w:rsid w:val="00F85704"/>
    <w:pPr>
      <w:tabs>
        <w:tab w:val="left" w:pos="284"/>
      </w:tabs>
      <w:spacing w:after="120"/>
      <w:ind w:left="340" w:hanging="340"/>
    </w:pPr>
    <w:rPr>
      <w:szCs w:val="24"/>
    </w:rPr>
  </w:style>
  <w:style w:type="character" w:customStyle="1" w:styleId="FootnoteTextChar">
    <w:name w:val="Footnote Text Char"/>
    <w:basedOn w:val="DefaultParagraphFont"/>
    <w:link w:val="FootnoteText"/>
    <w:uiPriority w:val="99"/>
    <w:rsid w:val="00F85704"/>
    <w:rPr>
      <w:rFonts w:ascii="Arial" w:hAnsi="Arial"/>
      <w:sz w:val="24"/>
      <w:szCs w:val="24"/>
    </w:rPr>
  </w:style>
  <w:style w:type="character" w:styleId="FootnoteReference">
    <w:name w:val="footnote reference"/>
    <w:basedOn w:val="DefaultParagraphFont"/>
    <w:uiPriority w:val="99"/>
    <w:rsid w:val="00526937"/>
    <w:rPr>
      <w:vertAlign w:val="superscript"/>
    </w:rPr>
  </w:style>
  <w:style w:type="paragraph" w:customStyle="1" w:styleId="Bullet3">
    <w:name w:val="Bullet 3"/>
    <w:basedOn w:val="Bullet2"/>
    <w:qFormat/>
    <w:rsid w:val="003504BB"/>
    <w:pPr>
      <w:numPr>
        <w:numId w:val="5"/>
      </w:numPr>
      <w:ind w:left="1814" w:hanging="340"/>
    </w:pPr>
  </w:style>
  <w:style w:type="paragraph" w:customStyle="1" w:styleId="Bulletnumbered1123">
    <w:name w:val="Bullet numbered 1 (123)"/>
    <w:basedOn w:val="Normal"/>
    <w:qFormat/>
    <w:rsid w:val="008E5F4B"/>
    <w:pPr>
      <w:numPr>
        <w:numId w:val="7"/>
      </w:numPr>
    </w:pPr>
  </w:style>
  <w:style w:type="paragraph" w:customStyle="1" w:styleId="Bulletnumbered2abc">
    <w:name w:val="Bullet numbered 2 (abc)"/>
    <w:basedOn w:val="Bulletnumbered1123"/>
    <w:qFormat/>
    <w:rsid w:val="008E5F4B"/>
    <w:pPr>
      <w:numPr>
        <w:ilvl w:val="1"/>
      </w:numPr>
    </w:pPr>
  </w:style>
  <w:style w:type="character" w:styleId="FollowedHyperlink">
    <w:name w:val="FollowedHyperlink"/>
    <w:basedOn w:val="Hyperlink"/>
    <w:uiPriority w:val="99"/>
    <w:rsid w:val="003A082D"/>
    <w:rPr>
      <w:b/>
      <w:bCs/>
      <w:color w:val="43358B"/>
    </w:rPr>
  </w:style>
  <w:style w:type="character" w:customStyle="1" w:styleId="Heading1numberedChar">
    <w:name w:val="Heading 1 numbered Char"/>
    <w:basedOn w:val="Heading1Char"/>
    <w:link w:val="Heading1numbered"/>
    <w:rsid w:val="008E5F4B"/>
    <w:rPr>
      <w:rFonts w:ascii="Arial" w:eastAsiaTheme="majorEastAsia" w:hAnsi="Arial" w:cstheme="majorBidi"/>
      <w:b/>
      <w:color w:val="43358B"/>
      <w:sz w:val="36"/>
      <w:szCs w:val="36"/>
    </w:rPr>
  </w:style>
  <w:style w:type="character" w:customStyle="1" w:styleId="Heading2numberedChar">
    <w:name w:val="Heading 2 numbered Char"/>
    <w:basedOn w:val="Heading2Char"/>
    <w:link w:val="Heading2numbered"/>
    <w:rsid w:val="00817C6A"/>
    <w:rPr>
      <w:rFonts w:ascii="Arial" w:eastAsiaTheme="majorEastAsia" w:hAnsi="Arial" w:cstheme="majorBidi"/>
      <w:b/>
      <w:color w:val="43358B"/>
      <w:sz w:val="32"/>
      <w:szCs w:val="32"/>
    </w:rPr>
  </w:style>
  <w:style w:type="character" w:customStyle="1" w:styleId="Heading3numberedChar">
    <w:name w:val="Heading 3 numbered Char"/>
    <w:basedOn w:val="Heading3Char"/>
    <w:link w:val="Heading3numbered"/>
    <w:rsid w:val="008E5F4B"/>
    <w:rPr>
      <w:rFonts w:ascii="Arial" w:eastAsiaTheme="majorEastAsia" w:hAnsi="Arial" w:cs="Arial"/>
      <w:b/>
      <w:bCs/>
      <w:color w:val="000000" w:themeColor="text1"/>
      <w:sz w:val="28"/>
      <w:szCs w:val="28"/>
    </w:rPr>
  </w:style>
  <w:style w:type="character" w:customStyle="1" w:styleId="Heading4numberedChar">
    <w:name w:val="Heading 4 numbered Char"/>
    <w:basedOn w:val="Heading4Char"/>
    <w:link w:val="Heading4numbered"/>
    <w:rsid w:val="008E5F4B"/>
    <w:rPr>
      <w:rFonts w:ascii="Arial" w:eastAsiaTheme="majorEastAsia" w:hAnsi="Arial" w:cs="Arial"/>
      <w:b/>
      <w:bCs w:val="0"/>
      <w:color w:val="000000" w:themeColor="text1"/>
      <w:sz w:val="24"/>
      <w:szCs w:val="24"/>
    </w:rPr>
  </w:style>
  <w:style w:type="paragraph" w:customStyle="1" w:styleId="Tablebullet1">
    <w:name w:val="Table bullet 1"/>
    <w:basedOn w:val="TableBody"/>
    <w:qFormat/>
    <w:rsid w:val="00B1110B"/>
    <w:pPr>
      <w:numPr>
        <w:numId w:val="6"/>
      </w:numPr>
    </w:pPr>
  </w:style>
  <w:style w:type="paragraph" w:customStyle="1" w:styleId="Tablebullet2">
    <w:name w:val="Table bullet 2"/>
    <w:basedOn w:val="Tablebullet1"/>
    <w:qFormat/>
    <w:rsid w:val="004C6DF6"/>
    <w:pPr>
      <w:numPr>
        <w:ilvl w:val="1"/>
      </w:numPr>
      <w:ind w:left="947" w:hanging="357"/>
    </w:pPr>
  </w:style>
  <w:style w:type="paragraph" w:customStyle="1" w:styleId="Tablebodyrightalignedfornumbersonly">
    <w:name w:val="Table body right aligned (for numbers only)"/>
    <w:basedOn w:val="TableBody"/>
    <w:qFormat/>
    <w:rsid w:val="00B1110B"/>
    <w:pPr>
      <w:jc w:val="right"/>
    </w:pPr>
  </w:style>
  <w:style w:type="paragraph" w:customStyle="1" w:styleId="Pagenumbers">
    <w:name w:val="Page numbers"/>
    <w:basedOn w:val="Footer"/>
    <w:qFormat/>
    <w:rsid w:val="00D1457B"/>
    <w:pPr>
      <w:pBdr>
        <w:top w:val="single" w:sz="6" w:space="3" w:color="3F3685" w:themeColor="text2"/>
      </w:pBdr>
      <w:jc w:val="right"/>
    </w:pPr>
    <w:rPr>
      <w:noProof/>
    </w:rPr>
  </w:style>
  <w:style w:type="paragraph" w:customStyle="1" w:styleId="Coverfooter">
    <w:name w:val="Cover footer"/>
    <w:basedOn w:val="Normal"/>
    <w:qFormat/>
    <w:rsid w:val="001A7DA0"/>
    <w:pPr>
      <w:tabs>
        <w:tab w:val="right" w:pos="8959"/>
      </w:tabs>
      <w:spacing w:before="120" w:after="0" w:line="312" w:lineRule="auto"/>
      <w:ind w:right="964"/>
    </w:pPr>
    <w:rPr>
      <w:rFonts w:cs="Arial"/>
      <w:b/>
      <w:color w:val="3F3685" w:themeColor="text2"/>
      <w:position w:val="-28"/>
      <w:sz w:val="28"/>
    </w:rPr>
  </w:style>
  <w:style w:type="character" w:customStyle="1" w:styleId="Italicspeciesnamesonly">
    <w:name w:val="*Italic (species names only)"/>
    <w:basedOn w:val="DefaultParagraphFont"/>
    <w:uiPriority w:val="1"/>
    <w:qFormat/>
    <w:rsid w:val="00B1110B"/>
    <w:rPr>
      <w:i/>
    </w:rPr>
  </w:style>
  <w:style w:type="character" w:customStyle="1" w:styleId="Bolditalicspeciesnamesonly">
    <w:name w:val="*Bold italic (species names only)"/>
    <w:basedOn w:val="Italicspeciesnamesonly"/>
    <w:uiPriority w:val="1"/>
    <w:qFormat/>
    <w:rsid w:val="00B1110B"/>
    <w:rPr>
      <w:b/>
      <w:i/>
    </w:rPr>
  </w:style>
  <w:style w:type="character" w:customStyle="1" w:styleId="Subscript">
    <w:name w:val="Subscript"/>
    <w:basedOn w:val="Superscript"/>
    <w:uiPriority w:val="1"/>
    <w:qFormat/>
    <w:rsid w:val="00B1110B"/>
    <w:rPr>
      <w:rFonts w:asciiTheme="minorHAnsi" w:hAnsiTheme="minorHAnsi" w:cs="Arial"/>
      <w:vertAlign w:val="subscript"/>
    </w:rPr>
  </w:style>
  <w:style w:type="paragraph" w:styleId="BalloonText">
    <w:name w:val="Balloon Text"/>
    <w:basedOn w:val="Normal"/>
    <w:link w:val="BalloonTextChar"/>
    <w:uiPriority w:val="99"/>
    <w:semiHidden/>
    <w:locked/>
    <w:rsid w:val="005319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195B"/>
    <w:rPr>
      <w:rFonts w:ascii="Segoe UI" w:hAnsi="Segoe UI" w:cs="Segoe UI"/>
      <w:sz w:val="18"/>
      <w:szCs w:val="18"/>
    </w:rPr>
  </w:style>
  <w:style w:type="paragraph" w:customStyle="1" w:styleId="Headingtextbox">
    <w:name w:val="Heading textbox"/>
    <w:basedOn w:val="Heading1"/>
    <w:rsid w:val="00B1110B"/>
    <w:pPr>
      <w:spacing w:before="0" w:after="120"/>
    </w:pPr>
    <w:rPr>
      <w:sz w:val="32"/>
    </w:rPr>
  </w:style>
  <w:style w:type="paragraph" w:styleId="Quote">
    <w:name w:val="Quote"/>
    <w:basedOn w:val="Normal"/>
    <w:next w:val="Normal"/>
    <w:link w:val="QuoteChar"/>
    <w:uiPriority w:val="29"/>
    <w:qFormat/>
    <w:rsid w:val="00B50803"/>
    <w:pPr>
      <w:pBdr>
        <w:top w:val="single" w:sz="8" w:space="10" w:color="3F3685" w:themeColor="text2"/>
        <w:bottom w:val="single" w:sz="8" w:space="6" w:color="3F3685" w:themeColor="text2"/>
      </w:pBdr>
      <w:spacing w:before="240" w:after="300"/>
      <w:ind w:left="567" w:right="567"/>
    </w:pPr>
    <w:rPr>
      <w:iCs/>
      <w:color w:val="000000" w:themeColor="text1"/>
    </w:rPr>
  </w:style>
  <w:style w:type="character" w:customStyle="1" w:styleId="QuoteChar">
    <w:name w:val="Quote Char"/>
    <w:basedOn w:val="DefaultParagraphFont"/>
    <w:link w:val="Quote"/>
    <w:uiPriority w:val="29"/>
    <w:rsid w:val="00B50803"/>
    <w:rPr>
      <w:rFonts w:ascii="Arial" w:hAnsi="Arial"/>
      <w:iCs/>
      <w:color w:val="000000" w:themeColor="text1"/>
      <w:sz w:val="24"/>
    </w:rPr>
  </w:style>
  <w:style w:type="character" w:customStyle="1" w:styleId="yellowhighlight">
    <w:name w:val="*yellow highlight"/>
    <w:basedOn w:val="DefaultParagraphFont"/>
    <w:uiPriority w:val="1"/>
    <w:semiHidden/>
    <w:qFormat/>
    <w:rsid w:val="00B1110B"/>
    <w:rPr>
      <w:bdr w:val="none" w:sz="0" w:space="0" w:color="auto"/>
      <w:shd w:val="clear" w:color="auto" w:fill="FFFF00"/>
    </w:rPr>
  </w:style>
  <w:style w:type="character" w:customStyle="1" w:styleId="Restrictedstatisticstextforpublicationreleases">
    <w:name w:val="*Restricted statistics text (for publication releases)"/>
    <w:basedOn w:val="DefaultParagraphFont"/>
    <w:uiPriority w:val="1"/>
    <w:semiHidden/>
    <w:qFormat/>
    <w:rsid w:val="00B1110B"/>
    <w:rPr>
      <w:b/>
      <w:color w:val="B50000"/>
      <w:sz w:val="28"/>
    </w:rPr>
  </w:style>
  <w:style w:type="character" w:customStyle="1" w:styleId="yellowbold">
    <w:name w:val="*yellow bold"/>
    <w:basedOn w:val="DefaultParagraphFont"/>
    <w:uiPriority w:val="1"/>
    <w:semiHidden/>
    <w:qFormat/>
    <w:rsid w:val="00B1110B"/>
    <w:rPr>
      <w:b/>
      <w:bdr w:val="none" w:sz="0" w:space="0" w:color="auto"/>
      <w:shd w:val="clear" w:color="auto" w:fill="FFFF00"/>
    </w:rPr>
  </w:style>
  <w:style w:type="character" w:customStyle="1" w:styleId="yellowhyperlink">
    <w:name w:val="*yellow hyperlink"/>
    <w:basedOn w:val="DefaultParagraphFont"/>
    <w:uiPriority w:val="1"/>
    <w:semiHidden/>
    <w:qFormat/>
    <w:rsid w:val="00672595"/>
    <w:rPr>
      <w:b/>
      <w:color w:val="3F3685" w:themeColor="text2"/>
      <w:u w:val="none"/>
      <w:bdr w:val="none" w:sz="0" w:space="0" w:color="auto"/>
      <w:shd w:val="clear" w:color="auto" w:fill="FFFF00"/>
    </w:rPr>
  </w:style>
  <w:style w:type="character" w:customStyle="1" w:styleId="greyhighlight">
    <w:name w:val="*grey highlight"/>
    <w:basedOn w:val="DefaultParagraphFont"/>
    <w:uiPriority w:val="1"/>
    <w:semiHidden/>
    <w:qFormat/>
    <w:rsid w:val="00B1110B"/>
    <w:rPr>
      <w:bdr w:val="none" w:sz="0" w:space="0" w:color="auto"/>
      <w:shd w:val="clear" w:color="auto" w:fill="D9D9D9" w:themeFill="background1" w:themeFillShade="D9"/>
    </w:rPr>
  </w:style>
  <w:style w:type="character" w:customStyle="1" w:styleId="greyhyperlink">
    <w:name w:val="*grey hyperlink"/>
    <w:basedOn w:val="DefaultParagraphFont"/>
    <w:uiPriority w:val="1"/>
    <w:semiHidden/>
    <w:qFormat/>
    <w:rsid w:val="00672595"/>
    <w:rPr>
      <w:b/>
      <w:color w:val="3F3685" w:themeColor="text2"/>
      <w:u w:val="none"/>
      <w:bdr w:val="none" w:sz="0" w:space="0" w:color="auto"/>
      <w:shd w:val="clear" w:color="auto" w:fill="D9D9D9" w:themeFill="background1" w:themeFillShade="D9"/>
    </w:rPr>
  </w:style>
  <w:style w:type="character" w:customStyle="1" w:styleId="greybold">
    <w:name w:val="*grey bold"/>
    <w:basedOn w:val="DefaultParagraphFont"/>
    <w:uiPriority w:val="1"/>
    <w:semiHidden/>
    <w:qFormat/>
    <w:rsid w:val="00B1110B"/>
    <w:rPr>
      <w:b/>
      <w:bdr w:val="none" w:sz="0" w:space="0" w:color="auto"/>
      <w:shd w:val="clear" w:color="auto" w:fill="D9D9D9" w:themeFill="background1" w:themeFillShade="D9"/>
    </w:rPr>
  </w:style>
  <w:style w:type="character" w:styleId="CommentReference">
    <w:name w:val="annotation reference"/>
    <w:basedOn w:val="DefaultParagraphFont"/>
    <w:uiPriority w:val="99"/>
    <w:semiHidden/>
    <w:locked/>
    <w:rsid w:val="005D016F"/>
    <w:rPr>
      <w:sz w:val="16"/>
      <w:szCs w:val="16"/>
    </w:rPr>
  </w:style>
  <w:style w:type="paragraph" w:styleId="CommentText">
    <w:name w:val="annotation text"/>
    <w:basedOn w:val="Normal"/>
    <w:link w:val="CommentTextChar"/>
    <w:uiPriority w:val="99"/>
    <w:semiHidden/>
    <w:locked/>
    <w:rsid w:val="005D016F"/>
    <w:pPr>
      <w:spacing w:line="240" w:lineRule="auto"/>
    </w:pPr>
    <w:rPr>
      <w:sz w:val="20"/>
      <w:szCs w:val="20"/>
    </w:rPr>
  </w:style>
  <w:style w:type="character" w:customStyle="1" w:styleId="CommentTextChar">
    <w:name w:val="Comment Text Char"/>
    <w:basedOn w:val="DefaultParagraphFont"/>
    <w:link w:val="CommentText"/>
    <w:uiPriority w:val="99"/>
    <w:semiHidden/>
    <w:rsid w:val="005D016F"/>
    <w:rPr>
      <w:rFonts w:ascii="Arial" w:hAnsi="Arial"/>
      <w:sz w:val="20"/>
      <w:szCs w:val="20"/>
    </w:rPr>
  </w:style>
  <w:style w:type="paragraph" w:styleId="CommentSubject">
    <w:name w:val="annotation subject"/>
    <w:basedOn w:val="CommentText"/>
    <w:next w:val="CommentText"/>
    <w:link w:val="CommentSubjectChar"/>
    <w:uiPriority w:val="99"/>
    <w:semiHidden/>
    <w:locked/>
    <w:rsid w:val="005D016F"/>
    <w:rPr>
      <w:b/>
      <w:bCs/>
    </w:rPr>
  </w:style>
  <w:style w:type="character" w:customStyle="1" w:styleId="CommentSubjectChar">
    <w:name w:val="Comment Subject Char"/>
    <w:basedOn w:val="CommentTextChar"/>
    <w:link w:val="CommentSubject"/>
    <w:uiPriority w:val="99"/>
    <w:semiHidden/>
    <w:rsid w:val="005D016F"/>
    <w:rPr>
      <w:rFonts w:ascii="Arial" w:hAnsi="Arial"/>
      <w:b/>
      <w:bCs/>
      <w:sz w:val="20"/>
      <w:szCs w:val="20"/>
    </w:rPr>
  </w:style>
  <w:style w:type="paragraph" w:customStyle="1" w:styleId="Tablebulletnumbered1123">
    <w:name w:val="Table bullet numbered 1 (123)"/>
    <w:basedOn w:val="TableBody"/>
    <w:qFormat/>
    <w:rsid w:val="008E5F4B"/>
    <w:pPr>
      <w:numPr>
        <w:numId w:val="9"/>
      </w:numPr>
      <w:tabs>
        <w:tab w:val="left" w:pos="720"/>
      </w:tabs>
    </w:pPr>
  </w:style>
  <w:style w:type="paragraph" w:customStyle="1" w:styleId="Tablebulletnumbered2abc">
    <w:name w:val="Table bullet numbered 2 (abc)"/>
    <w:basedOn w:val="Tablebulletnumbered1123"/>
    <w:qFormat/>
    <w:rsid w:val="008E5F4B"/>
    <w:pPr>
      <w:numPr>
        <w:ilvl w:val="1"/>
      </w:numPr>
      <w:tabs>
        <w:tab w:val="left" w:pos="1134"/>
      </w:tabs>
    </w:pPr>
  </w:style>
  <w:style w:type="character" w:customStyle="1" w:styleId="UnresolvedMention2">
    <w:name w:val="Unresolved Mention2"/>
    <w:basedOn w:val="DefaultParagraphFont"/>
    <w:uiPriority w:val="99"/>
    <w:semiHidden/>
    <w:locked/>
    <w:rsid w:val="008B3462"/>
    <w:rPr>
      <w:color w:val="605E5C"/>
      <w:shd w:val="clear" w:color="auto" w:fill="E1DFDD"/>
    </w:rPr>
  </w:style>
  <w:style w:type="paragraph" w:customStyle="1" w:styleId="Bulletnumbered3iii">
    <w:name w:val="Bullet numbered 3 (iii)"/>
    <w:basedOn w:val="Bulletnumbered2abc"/>
    <w:qFormat/>
    <w:rsid w:val="008E5F4B"/>
    <w:pPr>
      <w:numPr>
        <w:ilvl w:val="2"/>
      </w:numPr>
    </w:pPr>
  </w:style>
  <w:style w:type="paragraph" w:styleId="EndnoteText">
    <w:name w:val="endnote text"/>
    <w:basedOn w:val="Normal"/>
    <w:link w:val="EndnoteTextChar"/>
    <w:uiPriority w:val="99"/>
    <w:rsid w:val="00483CAD"/>
    <w:pPr>
      <w:tabs>
        <w:tab w:val="left" w:pos="426"/>
      </w:tabs>
      <w:spacing w:after="120"/>
      <w:ind w:left="284" w:hanging="284"/>
    </w:pPr>
    <w:rPr>
      <w:szCs w:val="24"/>
    </w:rPr>
  </w:style>
  <w:style w:type="character" w:customStyle="1" w:styleId="EndnoteTextChar">
    <w:name w:val="Endnote Text Char"/>
    <w:basedOn w:val="DefaultParagraphFont"/>
    <w:link w:val="EndnoteText"/>
    <w:uiPriority w:val="99"/>
    <w:rsid w:val="00483CAD"/>
    <w:rPr>
      <w:rFonts w:ascii="Arial" w:hAnsi="Arial"/>
      <w:sz w:val="24"/>
      <w:szCs w:val="24"/>
    </w:rPr>
  </w:style>
  <w:style w:type="character" w:styleId="EndnoteReference">
    <w:name w:val="endnote reference"/>
    <w:basedOn w:val="DefaultParagraphFont"/>
    <w:uiPriority w:val="99"/>
    <w:rsid w:val="007C6BAA"/>
    <w:rPr>
      <w:vertAlign w:val="superscript"/>
    </w:rPr>
  </w:style>
  <w:style w:type="character" w:customStyle="1" w:styleId="Crossreference">
    <w:name w:val="Cross reference"/>
    <w:basedOn w:val="Hyperlink"/>
    <w:uiPriority w:val="1"/>
    <w:qFormat/>
    <w:rsid w:val="007C48DB"/>
    <w:rPr>
      <w:b/>
      <w:bCs/>
      <w:color w:val="43358B"/>
    </w:rPr>
  </w:style>
  <w:style w:type="paragraph" w:customStyle="1" w:styleId="Default">
    <w:name w:val="Default"/>
    <w:semiHidden/>
    <w:locked/>
    <w:rsid w:val="00AE3D5E"/>
    <w:pPr>
      <w:autoSpaceDE w:val="0"/>
      <w:autoSpaceDN w:val="0"/>
      <w:adjustRightInd w:val="0"/>
      <w:spacing w:after="0" w:line="240" w:lineRule="auto"/>
    </w:pPr>
    <w:rPr>
      <w:rFonts w:ascii="Arial" w:hAnsi="Arial" w:cs="Arial"/>
      <w:color w:val="000000"/>
      <w:sz w:val="24"/>
      <w:szCs w:val="24"/>
    </w:rPr>
  </w:style>
  <w:style w:type="character" w:customStyle="1" w:styleId="UnresolvedMention3">
    <w:name w:val="Unresolved Mention3"/>
    <w:basedOn w:val="DefaultParagraphFont"/>
    <w:uiPriority w:val="99"/>
    <w:semiHidden/>
    <w:locked/>
    <w:rsid w:val="009C69C3"/>
    <w:rPr>
      <w:color w:val="605E5C"/>
      <w:shd w:val="clear" w:color="auto" w:fill="E1DFDD"/>
    </w:rPr>
  </w:style>
  <w:style w:type="table" w:styleId="PlainTable5">
    <w:name w:val="Plain Table 5"/>
    <w:basedOn w:val="TableNormal"/>
    <w:uiPriority w:val="45"/>
    <w:locked/>
    <w:rsid w:val="0068574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Imageplacement">
    <w:name w:val="*Image placement"/>
    <w:basedOn w:val="Normal"/>
    <w:qFormat/>
    <w:rsid w:val="00CF4140"/>
    <w:pPr>
      <w:spacing w:after="360"/>
      <w:jc w:val="center"/>
    </w:pPr>
    <w:rPr>
      <w:noProof/>
      <w:lang w:eastAsia="en-GB"/>
    </w:rPr>
  </w:style>
  <w:style w:type="paragraph" w:customStyle="1" w:styleId="Textboxnormalleftaligned">
    <w:name w:val="Textbox normal (left aligned)"/>
    <w:basedOn w:val="Normal"/>
    <w:qFormat/>
    <w:rsid w:val="00CF1522"/>
    <w:pPr>
      <w:spacing w:after="120"/>
    </w:pPr>
  </w:style>
  <w:style w:type="paragraph" w:customStyle="1" w:styleId="Texboxnormalcentrealigned">
    <w:name w:val="Texbox normal (centre aligned)"/>
    <w:basedOn w:val="Textboxnormalleftaligned"/>
    <w:semiHidden/>
    <w:qFormat/>
    <w:rsid w:val="00A76AB4"/>
    <w:pPr>
      <w:jc w:val="center"/>
    </w:pPr>
  </w:style>
  <w:style w:type="character" w:customStyle="1" w:styleId="hidePElogoEditoraluseonly">
    <w:name w:val="*hide PE logo (Editoral use only)"/>
    <w:basedOn w:val="DefaultParagraphFont"/>
    <w:uiPriority w:val="1"/>
    <w:qFormat/>
    <w:rsid w:val="00763FCD"/>
    <w:rPr>
      <w:vanish/>
    </w:rPr>
  </w:style>
  <w:style w:type="paragraph" w:customStyle="1" w:styleId="GlossaryItemDescription">
    <w:name w:val="Glossary Item Description"/>
    <w:basedOn w:val="Normal"/>
    <w:link w:val="GlossaryItemDescriptionChar"/>
    <w:semiHidden/>
    <w:qFormat/>
    <w:rsid w:val="00C50127"/>
    <w:rPr>
      <w:rFonts w:eastAsia="Calibri" w:cs="Times New Roman"/>
      <w:szCs w:val="24"/>
      <w:lang w:eastAsia="en-GB"/>
    </w:rPr>
  </w:style>
  <w:style w:type="character" w:customStyle="1" w:styleId="GlossaryItemDescriptionChar">
    <w:name w:val="Glossary Item Description Char"/>
    <w:basedOn w:val="DefaultParagraphFont"/>
    <w:link w:val="GlossaryItemDescription"/>
    <w:semiHidden/>
    <w:rsid w:val="00C50127"/>
    <w:rPr>
      <w:rFonts w:ascii="Arial" w:eastAsia="Calibri" w:hAnsi="Arial" w:cs="Times New Roman"/>
      <w:sz w:val="24"/>
      <w:szCs w:val="24"/>
      <w:lang w:eastAsia="en-GB"/>
    </w:rPr>
  </w:style>
  <w:style w:type="paragraph" w:customStyle="1" w:styleId="GlossaryItemName">
    <w:name w:val="Glossary Item Name"/>
    <w:basedOn w:val="Normal"/>
    <w:link w:val="GlossaryItemNameChar"/>
    <w:semiHidden/>
    <w:qFormat/>
    <w:rsid w:val="00A01380"/>
    <w:pPr>
      <w:spacing w:before="120" w:after="60"/>
    </w:pPr>
    <w:rPr>
      <w:rFonts w:eastAsia="Calibri" w:cs="Times New Roman"/>
      <w:b/>
      <w:bCs/>
      <w:szCs w:val="24"/>
      <w:lang w:eastAsia="en-GB"/>
    </w:rPr>
  </w:style>
  <w:style w:type="character" w:customStyle="1" w:styleId="GlossaryItemNameChar">
    <w:name w:val="Glossary Item Name Char"/>
    <w:basedOn w:val="DefaultParagraphFont"/>
    <w:link w:val="GlossaryItemName"/>
    <w:semiHidden/>
    <w:rsid w:val="00A01380"/>
    <w:rPr>
      <w:rFonts w:ascii="Arial" w:eastAsia="Calibri" w:hAnsi="Arial" w:cs="Times New Roman"/>
      <w:b/>
      <w:bCs/>
      <w:sz w:val="24"/>
      <w:szCs w:val="24"/>
      <w:lang w:eastAsia="en-GB"/>
    </w:rPr>
  </w:style>
  <w:style w:type="paragraph" w:customStyle="1" w:styleId="Metadata-ItemDescription">
    <w:name w:val="Metadata - Item Description"/>
    <w:basedOn w:val="Normal"/>
    <w:link w:val="Metadata-ItemDescriptionChar"/>
    <w:semiHidden/>
    <w:qFormat/>
    <w:rsid w:val="00C50127"/>
    <w:rPr>
      <w:rFonts w:eastAsia="Calibri" w:cs="Times New Roman"/>
      <w:szCs w:val="24"/>
      <w:lang w:eastAsia="en-GB"/>
    </w:rPr>
  </w:style>
  <w:style w:type="character" w:customStyle="1" w:styleId="Metadata-ItemDescriptionChar">
    <w:name w:val="Metadata - Item Description Char"/>
    <w:basedOn w:val="DefaultParagraphFont"/>
    <w:link w:val="Metadata-ItemDescription"/>
    <w:semiHidden/>
    <w:rsid w:val="00C50127"/>
    <w:rPr>
      <w:rFonts w:ascii="Arial" w:eastAsia="Calibri" w:hAnsi="Arial" w:cs="Times New Roman"/>
      <w:sz w:val="24"/>
      <w:szCs w:val="24"/>
      <w:lang w:eastAsia="en-GB"/>
    </w:rPr>
  </w:style>
  <w:style w:type="paragraph" w:customStyle="1" w:styleId="Metadata-ItemTitle">
    <w:name w:val="Metadata - Item Title"/>
    <w:basedOn w:val="Normal"/>
    <w:link w:val="Metadata-ItemTitleChar"/>
    <w:semiHidden/>
    <w:qFormat/>
    <w:rsid w:val="00C50127"/>
    <w:pPr>
      <w:spacing w:before="120" w:after="120"/>
    </w:pPr>
    <w:rPr>
      <w:rFonts w:eastAsia="Calibri" w:cs="Times New Roman"/>
      <w:b/>
      <w:bCs/>
      <w:szCs w:val="24"/>
      <w:lang w:eastAsia="en-GB"/>
    </w:rPr>
  </w:style>
  <w:style w:type="character" w:customStyle="1" w:styleId="Metadata-ItemTitleChar">
    <w:name w:val="Metadata - Item Title Char"/>
    <w:basedOn w:val="DefaultParagraphFont"/>
    <w:link w:val="Metadata-ItemTitle"/>
    <w:semiHidden/>
    <w:rsid w:val="00C50127"/>
    <w:rPr>
      <w:rFonts w:ascii="Arial" w:eastAsia="Calibri" w:hAnsi="Arial" w:cs="Times New Roman"/>
      <w:b/>
      <w:bCs/>
      <w:sz w:val="24"/>
      <w:szCs w:val="24"/>
      <w:lang w:eastAsia="en-GB"/>
    </w:rPr>
  </w:style>
  <w:style w:type="paragraph" w:customStyle="1" w:styleId="StatsDesignationEditoraluseonly">
    <w:name w:val="Stats Designation (Editoral use only)"/>
    <w:basedOn w:val="Normal"/>
    <w:link w:val="StatsDesignationEditoraluseonlyChar"/>
    <w:semiHidden/>
    <w:qFormat/>
    <w:rsid w:val="00C50127"/>
    <w:rPr>
      <w:color w:val="FFFFFF" w:themeColor="background1"/>
      <w:sz w:val="28"/>
    </w:rPr>
  </w:style>
  <w:style w:type="character" w:customStyle="1" w:styleId="StatsDesignationEditoraluseonlyChar">
    <w:name w:val="Stats Designation (Editoral use only) Char"/>
    <w:basedOn w:val="DefaultParagraphFont"/>
    <w:link w:val="StatsDesignationEditoraluseonly"/>
    <w:semiHidden/>
    <w:rsid w:val="003371A0"/>
    <w:rPr>
      <w:rFonts w:ascii="Arial" w:hAnsi="Arial"/>
      <w:color w:val="FFFFFF" w:themeColor="background1"/>
      <w:sz w:val="28"/>
    </w:rPr>
  </w:style>
  <w:style w:type="paragraph" w:customStyle="1" w:styleId="ImprintpagetextEditorialuseonly">
    <w:name w:val="*Imprint page text (Editorial use only)"/>
    <w:basedOn w:val="Normal"/>
    <w:qFormat/>
    <w:rsid w:val="00292910"/>
    <w:pPr>
      <w:tabs>
        <w:tab w:val="right" w:pos="8959"/>
      </w:tabs>
      <w:spacing w:line="312" w:lineRule="auto"/>
    </w:pPr>
  </w:style>
  <w:style w:type="character" w:customStyle="1" w:styleId="ImprintpageiconsEditorialuseonly">
    <w:name w:val="*Imprint page icons (Editorial use only)"/>
    <w:basedOn w:val="DefaultParagraphFont"/>
    <w:uiPriority w:val="1"/>
    <w:qFormat/>
    <w:rsid w:val="00292910"/>
    <w:rPr>
      <w:position w:val="-14"/>
    </w:rPr>
  </w:style>
  <w:style w:type="character" w:customStyle="1" w:styleId="ImprintPHSlinkEditorialuseonly">
    <w:name w:val="*Imprint PHS link (Editorial use only)"/>
    <w:basedOn w:val="Hyperlink"/>
    <w:uiPriority w:val="1"/>
    <w:qFormat/>
    <w:rsid w:val="005D3601"/>
    <w:rPr>
      <w:b/>
      <w:bCs/>
      <w:color w:val="43358B"/>
      <w:position w:val="-24"/>
      <w:sz w:val="40"/>
    </w:rPr>
  </w:style>
  <w:style w:type="character" w:customStyle="1" w:styleId="showPElogoEditorialuseonly">
    <w:name w:val="*show PE logo (Editorial use only)"/>
    <w:basedOn w:val="hidePElogoEditoraluseonly"/>
    <w:uiPriority w:val="1"/>
    <w:qFormat/>
    <w:rsid w:val="00292910"/>
    <w:rPr>
      <w:vanish w:val="0"/>
      <w:position w:val="0"/>
    </w:rPr>
  </w:style>
  <w:style w:type="paragraph" w:styleId="NormalWeb">
    <w:name w:val="Normal (Web)"/>
    <w:basedOn w:val="Normal"/>
    <w:uiPriority w:val="99"/>
    <w:semiHidden/>
    <w:locked/>
    <w:rsid w:val="00404FBA"/>
    <w:rPr>
      <w:rFonts w:ascii="Times New Roman" w:hAnsi="Times New Roman" w:cs="Times New Roman"/>
      <w:szCs w:val="24"/>
    </w:rPr>
  </w:style>
  <w:style w:type="character" w:styleId="UnresolvedMention">
    <w:name w:val="Unresolved Mention"/>
    <w:basedOn w:val="DefaultParagraphFont"/>
    <w:uiPriority w:val="99"/>
    <w:semiHidden/>
    <w:unhideWhenUsed/>
    <w:rsid w:val="005F29FB"/>
    <w:rPr>
      <w:color w:val="605E5C"/>
      <w:shd w:val="clear" w:color="auto" w:fill="E1DFDD"/>
    </w:rPr>
  </w:style>
  <w:style w:type="paragraph" w:customStyle="1" w:styleId="NormalH1">
    <w:name w:val="Normal H1"/>
    <w:basedOn w:val="Normal"/>
    <w:link w:val="NormalH1Char"/>
    <w:rsid w:val="00782305"/>
    <w:pPr>
      <w:spacing w:before="720"/>
    </w:pPr>
    <w:rPr>
      <w:b/>
      <w:color w:val="43358B"/>
      <w:sz w:val="36"/>
    </w:rPr>
  </w:style>
  <w:style w:type="paragraph" w:customStyle="1" w:styleId="NormalH1numbered">
    <w:name w:val="Normal H1 numbered"/>
    <w:basedOn w:val="NormalH1"/>
    <w:link w:val="NormalH1numberedChar"/>
    <w:rsid w:val="008867DD"/>
    <w:pPr>
      <w:numPr>
        <w:numId w:val="19"/>
      </w:numPr>
    </w:pPr>
  </w:style>
  <w:style w:type="paragraph" w:customStyle="1" w:styleId="NormalH2numbered">
    <w:name w:val="Normal H2 numbered"/>
    <w:basedOn w:val="NormalH1numbered"/>
    <w:link w:val="NormalH2numberedChar"/>
    <w:qFormat/>
    <w:rsid w:val="00817C6A"/>
    <w:pPr>
      <w:numPr>
        <w:ilvl w:val="1"/>
        <w:numId w:val="8"/>
      </w:numPr>
      <w:ind w:left="0"/>
    </w:pPr>
    <w:rPr>
      <w:sz w:val="32"/>
    </w:rPr>
  </w:style>
  <w:style w:type="paragraph" w:customStyle="1" w:styleId="NormalH2">
    <w:name w:val="Normal H2"/>
    <w:basedOn w:val="NormalH2numbered"/>
    <w:qFormat/>
    <w:rsid w:val="00817C6A"/>
    <w:pPr>
      <w:numPr>
        <w:ilvl w:val="0"/>
        <w:numId w:val="0"/>
      </w:numPr>
      <w:spacing w:before="480"/>
    </w:pPr>
  </w:style>
  <w:style w:type="character" w:customStyle="1" w:styleId="NormalH1Char">
    <w:name w:val="Normal H1 Char"/>
    <w:basedOn w:val="DefaultParagraphFont"/>
    <w:link w:val="NormalH1"/>
    <w:rsid w:val="008867DD"/>
    <w:rPr>
      <w:rFonts w:ascii="Arial" w:hAnsi="Arial"/>
      <w:b/>
      <w:color w:val="43358B"/>
      <w:sz w:val="36"/>
    </w:rPr>
  </w:style>
  <w:style w:type="character" w:customStyle="1" w:styleId="NormalH1numberedChar">
    <w:name w:val="Normal H1 numbered Char"/>
    <w:basedOn w:val="NormalH1Char"/>
    <w:link w:val="NormalH1numbered"/>
    <w:rsid w:val="008867DD"/>
    <w:rPr>
      <w:rFonts w:ascii="Arial" w:hAnsi="Arial"/>
      <w:b/>
      <w:color w:val="43358B"/>
      <w:sz w:val="36"/>
    </w:rPr>
  </w:style>
  <w:style w:type="character" w:customStyle="1" w:styleId="NormalH2numberedChar">
    <w:name w:val="Normal H2 numbered Char"/>
    <w:basedOn w:val="NormalH1numberedChar"/>
    <w:link w:val="NormalH2numbered"/>
    <w:rsid w:val="008867DD"/>
    <w:rPr>
      <w:rFonts w:ascii="Arial" w:hAnsi="Arial"/>
      <w:b/>
      <w:color w:val="43358B"/>
      <w:sz w:val="32"/>
    </w:rPr>
  </w:style>
  <w:style w:type="paragraph" w:customStyle="1" w:styleId="NormalH3">
    <w:name w:val="Normal H3"/>
    <w:basedOn w:val="NormalH2"/>
    <w:qFormat/>
    <w:rsid w:val="00526AFA"/>
    <w:rPr>
      <w:color w:val="auto"/>
      <w:sz w:val="28"/>
    </w:rPr>
  </w:style>
  <w:style w:type="paragraph" w:styleId="Revision">
    <w:name w:val="Revision"/>
    <w:hidden/>
    <w:uiPriority w:val="99"/>
    <w:semiHidden/>
    <w:rsid w:val="00AB20F1"/>
    <w:pPr>
      <w:spacing w:after="0" w:line="240" w:lineRule="auto"/>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19440066">
      <w:bodyDiv w:val="1"/>
      <w:marLeft w:val="0"/>
      <w:marRight w:val="0"/>
      <w:marTop w:val="0"/>
      <w:marBottom w:val="0"/>
      <w:divBdr>
        <w:top w:val="none" w:sz="0" w:space="0" w:color="auto"/>
        <w:left w:val="none" w:sz="0" w:space="0" w:color="auto"/>
        <w:bottom w:val="none" w:sz="0" w:space="0" w:color="auto"/>
        <w:right w:val="none" w:sz="0" w:space="0" w:color="auto"/>
      </w:divBdr>
    </w:div>
    <w:div w:id="588540093">
      <w:bodyDiv w:val="1"/>
      <w:marLeft w:val="0"/>
      <w:marRight w:val="0"/>
      <w:marTop w:val="0"/>
      <w:marBottom w:val="0"/>
      <w:divBdr>
        <w:top w:val="none" w:sz="0" w:space="0" w:color="auto"/>
        <w:left w:val="none" w:sz="0" w:space="0" w:color="auto"/>
        <w:bottom w:val="none" w:sz="0" w:space="0" w:color="auto"/>
        <w:right w:val="none" w:sz="0" w:space="0" w:color="auto"/>
      </w:divBdr>
    </w:div>
    <w:div w:id="742459058">
      <w:bodyDiv w:val="1"/>
      <w:marLeft w:val="0"/>
      <w:marRight w:val="0"/>
      <w:marTop w:val="0"/>
      <w:marBottom w:val="0"/>
      <w:divBdr>
        <w:top w:val="none" w:sz="0" w:space="0" w:color="auto"/>
        <w:left w:val="none" w:sz="0" w:space="0" w:color="auto"/>
        <w:bottom w:val="none" w:sz="0" w:space="0" w:color="auto"/>
        <w:right w:val="none" w:sz="0" w:space="0" w:color="auto"/>
      </w:divBdr>
    </w:div>
    <w:div w:id="751046448">
      <w:bodyDiv w:val="1"/>
      <w:marLeft w:val="0"/>
      <w:marRight w:val="0"/>
      <w:marTop w:val="0"/>
      <w:marBottom w:val="0"/>
      <w:divBdr>
        <w:top w:val="none" w:sz="0" w:space="0" w:color="auto"/>
        <w:left w:val="none" w:sz="0" w:space="0" w:color="auto"/>
        <w:bottom w:val="none" w:sz="0" w:space="0" w:color="auto"/>
        <w:right w:val="none" w:sz="0" w:space="0" w:color="auto"/>
      </w:divBdr>
    </w:div>
    <w:div w:id="914389643">
      <w:bodyDiv w:val="1"/>
      <w:marLeft w:val="0"/>
      <w:marRight w:val="0"/>
      <w:marTop w:val="0"/>
      <w:marBottom w:val="0"/>
      <w:divBdr>
        <w:top w:val="none" w:sz="0" w:space="0" w:color="auto"/>
        <w:left w:val="none" w:sz="0" w:space="0" w:color="auto"/>
        <w:bottom w:val="none" w:sz="0" w:space="0" w:color="auto"/>
        <w:right w:val="none" w:sz="0" w:space="0" w:color="auto"/>
      </w:divBdr>
    </w:div>
    <w:div w:id="1115951656">
      <w:bodyDiv w:val="1"/>
      <w:marLeft w:val="0"/>
      <w:marRight w:val="0"/>
      <w:marTop w:val="0"/>
      <w:marBottom w:val="0"/>
      <w:divBdr>
        <w:top w:val="none" w:sz="0" w:space="0" w:color="auto"/>
        <w:left w:val="none" w:sz="0" w:space="0" w:color="auto"/>
        <w:bottom w:val="none" w:sz="0" w:space="0" w:color="auto"/>
        <w:right w:val="none" w:sz="0" w:space="0" w:color="auto"/>
      </w:divBdr>
    </w:div>
    <w:div w:id="1274635748">
      <w:bodyDiv w:val="1"/>
      <w:marLeft w:val="0"/>
      <w:marRight w:val="0"/>
      <w:marTop w:val="0"/>
      <w:marBottom w:val="0"/>
      <w:divBdr>
        <w:top w:val="none" w:sz="0" w:space="0" w:color="auto"/>
        <w:left w:val="none" w:sz="0" w:space="0" w:color="auto"/>
        <w:bottom w:val="none" w:sz="0" w:space="0" w:color="auto"/>
        <w:right w:val="none" w:sz="0" w:space="0" w:color="auto"/>
      </w:divBdr>
    </w:div>
    <w:div w:id="1348361036">
      <w:bodyDiv w:val="1"/>
      <w:marLeft w:val="0"/>
      <w:marRight w:val="0"/>
      <w:marTop w:val="0"/>
      <w:marBottom w:val="0"/>
      <w:divBdr>
        <w:top w:val="none" w:sz="0" w:space="0" w:color="auto"/>
        <w:left w:val="none" w:sz="0" w:space="0" w:color="auto"/>
        <w:bottom w:val="none" w:sz="0" w:space="0" w:color="auto"/>
        <w:right w:val="none" w:sz="0" w:space="0" w:color="auto"/>
      </w:divBdr>
    </w:div>
    <w:div w:id="1736977493">
      <w:bodyDiv w:val="1"/>
      <w:marLeft w:val="0"/>
      <w:marRight w:val="0"/>
      <w:marTop w:val="0"/>
      <w:marBottom w:val="0"/>
      <w:divBdr>
        <w:top w:val="none" w:sz="0" w:space="0" w:color="auto"/>
        <w:left w:val="none" w:sz="0" w:space="0" w:color="auto"/>
        <w:bottom w:val="none" w:sz="0" w:space="0" w:color="auto"/>
        <w:right w:val="none" w:sz="0" w:space="0" w:color="auto"/>
      </w:divBdr>
    </w:div>
    <w:div w:id="1803764316">
      <w:bodyDiv w:val="1"/>
      <w:marLeft w:val="0"/>
      <w:marRight w:val="0"/>
      <w:marTop w:val="0"/>
      <w:marBottom w:val="0"/>
      <w:divBdr>
        <w:top w:val="none" w:sz="0" w:space="0" w:color="auto"/>
        <w:left w:val="none" w:sz="0" w:space="0" w:color="auto"/>
        <w:bottom w:val="none" w:sz="0" w:space="0" w:color="auto"/>
        <w:right w:val="none" w:sz="0" w:space="0" w:color="auto"/>
      </w:divBdr>
    </w:div>
    <w:div w:id="1865971075">
      <w:bodyDiv w:val="1"/>
      <w:marLeft w:val="0"/>
      <w:marRight w:val="0"/>
      <w:marTop w:val="0"/>
      <w:marBottom w:val="0"/>
      <w:divBdr>
        <w:top w:val="none" w:sz="0" w:space="0" w:color="auto"/>
        <w:left w:val="none" w:sz="0" w:space="0" w:color="auto"/>
        <w:bottom w:val="none" w:sz="0" w:space="0" w:color="auto"/>
        <w:right w:val="none" w:sz="0" w:space="0" w:color="auto"/>
      </w:divBdr>
    </w:div>
    <w:div w:id="2119526606">
      <w:bodyDiv w:val="1"/>
      <w:marLeft w:val="0"/>
      <w:marRight w:val="0"/>
      <w:marTop w:val="0"/>
      <w:marBottom w:val="0"/>
      <w:divBdr>
        <w:top w:val="none" w:sz="0" w:space="0" w:color="auto"/>
        <w:left w:val="none" w:sz="0" w:space="0" w:color="auto"/>
        <w:bottom w:val="none" w:sz="0" w:space="0" w:color="auto"/>
        <w:right w:val="none" w:sz="0" w:space="0" w:color="auto"/>
      </w:divBdr>
    </w:div>
    <w:div w:id="2125228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4.png"/><Relationship Id="rId26" Type="http://schemas.openxmlformats.org/officeDocument/2006/relationships/hyperlink" Target="http://www.publichealthscotland.scot" TargetMode="External"/><Relationship Id="rId39" Type="http://schemas.openxmlformats.org/officeDocument/2006/relationships/theme" Target="theme/theme1.xml"/><Relationship Id="rId21" Type="http://schemas.openxmlformats.org/officeDocument/2006/relationships/image" Target="media/image6.png"/><Relationship Id="rId34" Type="http://schemas.openxmlformats.org/officeDocument/2006/relationships/hyperlink" Target="https://www.gov.uk/government/publications/rotavirus-qas-for-healthcare-practitioners/rotavirus-vaccination-programme-information-for-healthcare-professionals"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3.jpeg"/><Relationship Id="rId25" Type="http://schemas.openxmlformats.org/officeDocument/2006/relationships/footer" Target="footer4.xml"/><Relationship Id="rId33" Type="http://schemas.openxmlformats.org/officeDocument/2006/relationships/hyperlink" Target="https://www.gov.uk/government/organisations/public-health-england/series/immunisation-against-infectious-disease-the-green-book" TargetMode="External"/><Relationship Id="rId38"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image" Target="media/image5.png"/><Relationship Id="rId29" Type="http://schemas.openxmlformats.org/officeDocument/2006/relationships/hyperlink" Target="https://www.gov.uk/government/publications/rotavirus-the-green-book-chapter-27b"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image" Target="media/image7.jpeg"/><Relationship Id="rId32" Type="http://schemas.openxmlformats.org/officeDocument/2006/relationships/hyperlink" Target="http://www.mhra.gov.uk/yellowcard" TargetMode="Externa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www.publichealthscotland.scot/ogl" TargetMode="External"/><Relationship Id="rId28" Type="http://schemas.openxmlformats.org/officeDocument/2006/relationships/footer" Target="footer6.xml"/><Relationship Id="rId36" Type="http://schemas.openxmlformats.org/officeDocument/2006/relationships/hyperlink" Target="https://www.rpharms.com/recognition/setting-professional-standards/safe-and-secure-handling-of-medicines/professional-guidance-on-the-safe-and-secure-handling-of-medicines" TargetMode="External"/><Relationship Id="rId10" Type="http://schemas.openxmlformats.org/officeDocument/2006/relationships/endnotes" Target="endnotes.xml"/><Relationship Id="rId19" Type="http://schemas.openxmlformats.org/officeDocument/2006/relationships/hyperlink" Target="mailto:phs.otherformats@phs.scot" TargetMode="External"/><Relationship Id="rId31" Type="http://schemas.openxmlformats.org/officeDocument/2006/relationships/hyperlink" Target="https://assets.publishing.service.gov.uk/government/uploads/system/uploads/attachment_data/file/655225/Greenbook_chapter_6.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www.nationalarchives.gov.uk/doc/open-government-licence/" TargetMode="External"/><Relationship Id="rId27" Type="http://schemas.openxmlformats.org/officeDocument/2006/relationships/footer" Target="footer5.xml"/><Relationship Id="rId30" Type="http://schemas.openxmlformats.org/officeDocument/2006/relationships/hyperlink" Target="https://www.gov.uk/government/publications/rotavirus-qas-for-healthcare-practitioners/rotavirus-vaccination-programme-information-for-healthcare-professionals" TargetMode="External"/><Relationship Id="rId35" Type="http://schemas.openxmlformats.org/officeDocument/2006/relationships/hyperlink" Target="https://www.rpharms.com/Portals/0/RPS%20document%20library/Open%20access/Professional%20standards/SSHM%20and%20Admin/Admin%20of%20Meds%20prof%20guidance.pdf"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_rels/header3.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llim15\OneDrive%20-%20NHS%20Scotland\Documents\YYYY-MM-DD-pgd-name-of-pgd-v7_unlocked.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6D9E0FEEEBF455BB5CB72A4D46E6706"/>
        <w:category>
          <w:name w:val="General"/>
          <w:gallery w:val="placeholder"/>
        </w:category>
        <w:types>
          <w:type w:val="bbPlcHdr"/>
        </w:types>
        <w:behaviors>
          <w:behavior w:val="content"/>
        </w:behaviors>
        <w:guid w:val="{F181B00C-63AA-40F4-BD6A-9BD9DCD95572}"/>
      </w:docPartPr>
      <w:docPartBody>
        <w:p w:rsidR="00E43391" w:rsidRDefault="00E43391">
          <w:pPr>
            <w:pStyle w:val="D6D9E0FEEEBF455BB5CB72A4D46E6706"/>
          </w:pPr>
          <w:r w:rsidRPr="002519CA">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3391"/>
    <w:rsid w:val="00024672"/>
    <w:rsid w:val="000D2328"/>
    <w:rsid w:val="00151B10"/>
    <w:rsid w:val="00223B7C"/>
    <w:rsid w:val="00312433"/>
    <w:rsid w:val="004F2388"/>
    <w:rsid w:val="00551BC7"/>
    <w:rsid w:val="00750F0E"/>
    <w:rsid w:val="007F7EC2"/>
    <w:rsid w:val="0080039D"/>
    <w:rsid w:val="008711A0"/>
    <w:rsid w:val="008B6736"/>
    <w:rsid w:val="008E63D8"/>
    <w:rsid w:val="009008B6"/>
    <w:rsid w:val="009404D4"/>
    <w:rsid w:val="009B7634"/>
    <w:rsid w:val="00B516C6"/>
    <w:rsid w:val="00B544EA"/>
    <w:rsid w:val="00B84BE4"/>
    <w:rsid w:val="00BB49DC"/>
    <w:rsid w:val="00E26E4F"/>
    <w:rsid w:val="00E433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D6D9E0FEEEBF455BB5CB72A4D46E6706">
    <w:name w:val="D6D9E0FEEEBF455BB5CB72A4D46E670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Retrospect">
  <a:themeElements>
    <a:clrScheme name="PHS">
      <a:dk1>
        <a:srgbClr val="000000"/>
      </a:dk1>
      <a:lt1>
        <a:sysClr val="window" lastClr="FFFFFF"/>
      </a:lt1>
      <a:dk2>
        <a:srgbClr val="3F3685"/>
      </a:dk2>
      <a:lt2>
        <a:srgbClr val="FFFFFF"/>
      </a:lt2>
      <a:accent1>
        <a:srgbClr val="0078D4"/>
      </a:accent1>
      <a:accent2>
        <a:srgbClr val="83BB26"/>
      </a:accent2>
      <a:accent3>
        <a:srgbClr val="EDD5EB"/>
      </a:accent3>
      <a:accent4>
        <a:srgbClr val="D5D0ED"/>
      </a:accent4>
      <a:accent5>
        <a:srgbClr val="964091"/>
      </a:accent5>
      <a:accent6>
        <a:srgbClr val="C982C5"/>
      </a:accent6>
      <a:hlink>
        <a:srgbClr val="3F3685"/>
      </a:hlink>
      <a:folHlink>
        <a:srgbClr val="3F3685"/>
      </a:folHlink>
    </a:clrScheme>
    <a:fontScheme name="PHS">
      <a:majorFont>
        <a:latin typeface="Arial"/>
        <a:ea typeface=""/>
        <a:cs typeface=""/>
      </a:majorFont>
      <a:minorFont>
        <a:latin typeface="Arial"/>
        <a:ea typeface=""/>
        <a:cs typeface=""/>
      </a:minorFont>
    </a:fontScheme>
    <a:fmtScheme name="Retrospect">
      <a:fillStyleLst>
        <a:solidFill>
          <a:schemeClr val="phClr"/>
        </a:solidFill>
        <a:gradFill rotWithShape="1">
          <a:gsLst>
            <a:gs pos="0">
              <a:schemeClr val="phClr">
                <a:tint val="65000"/>
                <a:shade val="92000"/>
                <a:satMod val="130000"/>
              </a:schemeClr>
            </a:gs>
            <a:gs pos="45000">
              <a:schemeClr val="phClr">
                <a:tint val="60000"/>
                <a:shade val="99000"/>
                <a:satMod val="120000"/>
              </a:schemeClr>
            </a:gs>
            <a:gs pos="100000">
              <a:schemeClr val="phClr">
                <a:tint val="55000"/>
                <a:satMod val="140000"/>
              </a:schemeClr>
            </a:gs>
          </a:gsLst>
          <a:path path="circle">
            <a:fillToRect l="100000" t="100000" r="100000" b="100000"/>
          </a:path>
        </a:gradFill>
        <a:gradFill rotWithShape="1">
          <a:gsLst>
            <a:gs pos="0">
              <a:schemeClr val="phClr">
                <a:shade val="85000"/>
                <a:satMod val="130000"/>
              </a:schemeClr>
            </a:gs>
            <a:gs pos="34000">
              <a:schemeClr val="phClr">
                <a:shade val="87000"/>
                <a:satMod val="125000"/>
              </a:schemeClr>
            </a:gs>
            <a:gs pos="70000">
              <a:schemeClr val="phClr">
                <a:tint val="100000"/>
                <a:shade val="90000"/>
                <a:satMod val="130000"/>
              </a:schemeClr>
            </a:gs>
            <a:gs pos="100000">
              <a:schemeClr val="phClr">
                <a:tint val="100000"/>
                <a:shade val="100000"/>
                <a:satMod val="110000"/>
              </a:schemeClr>
            </a:gs>
          </a:gsLst>
          <a:path path="circle">
            <a:fillToRect l="100000" t="100000" r="100000" b="100000"/>
          </a:path>
        </a:gradFill>
      </a:fillStyleLst>
      <a:lnStyleLst>
        <a:ln w="12700" cap="flat" cmpd="sng" algn="ctr">
          <a:solidFill>
            <a:schemeClr val="phClr"/>
          </a:solidFill>
          <a:prstDash val="solid"/>
        </a:ln>
        <a:ln w="15875"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outerShdw blurRad="38100" dist="25400" dir="2700000" algn="br" rotWithShape="0">
              <a:srgbClr val="000000">
                <a:alpha val="60000"/>
              </a:srgbClr>
            </a:outerShdw>
          </a:effectLst>
        </a:effectStyle>
        <a:effectStyle>
          <a:effectLst>
            <a:outerShdw blurRad="44450" dist="25400" dir="2700000" algn="br" rotWithShape="0">
              <a:srgbClr val="000000">
                <a:alpha val="60000"/>
              </a:srgbClr>
            </a:outerShdw>
          </a:effectLst>
          <a:scene3d>
            <a:camera prst="orthographicFront">
              <a:rot lat="0" lon="0" rev="0"/>
            </a:camera>
            <a:lightRig rig="threePt" dir="t">
              <a:rot lat="0" lon="0" rev="19800000"/>
            </a:lightRig>
          </a:scene3d>
          <a:sp3d prstMaterial="flat">
            <a:bevelT w="25400" h="31750"/>
          </a:sp3d>
        </a:effectStyle>
      </a:effectStyleLst>
      <a:bgFillStyleLst>
        <a:solidFill>
          <a:schemeClr val="phClr"/>
        </a:solidFill>
        <a:solidFill>
          <a:schemeClr val="phClr">
            <a:tint val="90000"/>
            <a:shade val="97000"/>
            <a:satMod val="130000"/>
          </a:schemeClr>
        </a:solidFill>
        <a:gradFill rotWithShape="1">
          <a:gsLst>
            <a:gs pos="0">
              <a:schemeClr val="phClr">
                <a:tint val="96000"/>
                <a:shade val="99000"/>
                <a:satMod val="140000"/>
              </a:schemeClr>
            </a:gs>
            <a:gs pos="65000">
              <a:schemeClr val="phClr">
                <a:tint val="100000"/>
                <a:shade val="80000"/>
                <a:satMod val="130000"/>
              </a:schemeClr>
            </a:gs>
            <a:gs pos="100000">
              <a:schemeClr val="phClr">
                <a:tint val="100000"/>
                <a:shade val="48000"/>
                <a:satMod val="120000"/>
              </a:schemeClr>
            </a:gs>
          </a:gsLst>
          <a:lin ang="16200000" scaled="0"/>
        </a:gradFill>
      </a:bgFillStyleLst>
    </a:fmtScheme>
  </a:themeElements>
  <a:objectDefaults>
    <a:txDef>
      <a:spPr bwMode="auto">
        <a:solidFill>
          <a:schemeClr val="bg1"/>
        </a:solidFill>
        <a:ln w="19050">
          <a:solidFill>
            <a:srgbClr val="964091"/>
          </a:solidFill>
          <a:miter lim="800000"/>
          <a:headEnd/>
          <a:tailEnd/>
        </a:ln>
      </a:spPr>
      <a:bodyPr rot="0" vert="horz" wrap="square" lIns="144000" tIns="144000" rIns="144000" bIns="108000" anchor="t" anchorCtr="0">
        <a:noAutofit/>
      </a:bodyPr>
      <a:lstStyle/>
    </a:txDef>
  </a:objectDefaults>
  <a:extraClrSchemeLst/>
  <a:extLst>
    <a:ext uri="{05A4C25C-085E-4340-85A3-A5531E510DB2}">
      <thm15:themeFamily xmlns:thm15="http://schemas.microsoft.com/office/thememl/2012/main" name="Retrospect" id="{5F128B03-DCCA-4EEB-AB3B-CF2899314A46}" vid="{3F1AAB62-24C6-49D2-8E01-B56FAC9A3DC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919F0D811FB1246921F06E047D9E47F" ma:contentTypeVersion="6" ma:contentTypeDescription="Create a new document." ma:contentTypeScope="" ma:versionID="36d068a5cd78ca8eca06a9e3ef117fa1">
  <xsd:schema xmlns:xsd="http://www.w3.org/2001/XMLSchema" xmlns:xs="http://www.w3.org/2001/XMLSchema" xmlns:p="http://schemas.microsoft.com/office/2006/metadata/properties" xmlns:ns2="e8e2604e-a994-475a-8ac2-9aa1f82d5f8d" xmlns:ns3="05339c63-2a87-4132-9986-3bce0e5c07f8" targetNamespace="http://schemas.microsoft.com/office/2006/metadata/properties" ma:root="true" ma:fieldsID="5e6a4176ddd51fd8d21d796a2ac67961" ns2:_="" ns3:_="">
    <xsd:import namespace="e8e2604e-a994-475a-8ac2-9aa1f82d5f8d"/>
    <xsd:import namespace="05339c63-2a87-4132-9986-3bce0e5c07f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e2604e-a994-475a-8ac2-9aa1f82d5f8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5339c63-2a87-4132-9986-3bce0e5c07f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45626A0-B555-49AD-A98C-802E57777F67}">
  <ds:schemaRefs>
    <ds:schemaRef ds:uri="http://schemas.openxmlformats.org/officeDocument/2006/bibliography"/>
  </ds:schemaRefs>
</ds:datastoreItem>
</file>

<file path=customXml/itemProps2.xml><?xml version="1.0" encoding="utf-8"?>
<ds:datastoreItem xmlns:ds="http://schemas.openxmlformats.org/officeDocument/2006/customXml" ds:itemID="{909CB5D3-5BFD-4BBC-9F32-751451F9C34C}">
  <ds:schemaRefs>
    <ds:schemaRef ds:uri="http://schemas.microsoft.com/sharepoint/v3/contenttype/forms"/>
  </ds:schemaRefs>
</ds:datastoreItem>
</file>

<file path=customXml/itemProps3.xml><?xml version="1.0" encoding="utf-8"?>
<ds:datastoreItem xmlns:ds="http://schemas.openxmlformats.org/officeDocument/2006/customXml" ds:itemID="{8C5DF787-70F0-48E6-9FF5-20B7544D8E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e2604e-a994-475a-8ac2-9aa1f82d5f8d"/>
    <ds:schemaRef ds:uri="05339c63-2a87-4132-9986-3bce0e5c07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BA2688C-114F-4086-A3A1-6C7FB0D8A225}">
  <ds:schemaRefs>
    <ds:schemaRef ds:uri="http://purl.org/dc/elements/1.1/"/>
    <ds:schemaRef ds:uri="e8e2604e-a994-475a-8ac2-9aa1f82d5f8d"/>
    <ds:schemaRef ds:uri="http://purl.org/dc/dcmitype/"/>
    <ds:schemaRef ds:uri="http://www.w3.org/XML/1998/namespace"/>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05339c63-2a87-4132-9986-3bce0e5c07f8"/>
    <ds:schemaRef ds:uri="http://purl.org/dc/terms/"/>
  </ds:schemaRefs>
</ds:datastoreItem>
</file>

<file path=docMetadata/LabelInfo.xml><?xml version="1.0" encoding="utf-8"?>
<clbl:labelList xmlns:clbl="http://schemas.microsoft.com/office/2020/mipLabelMetadata">
  <clbl:label id="{b4199b9c-a89e-442f-9799-431511f14748}" enabled="1" method="Privileged" siteId="{10efe0bd-a030-4bca-809c-b5e6745e499a}" removed="0"/>
</clbl:labelList>
</file>

<file path=docProps/app.xml><?xml version="1.0" encoding="utf-8"?>
<Properties xmlns="http://schemas.openxmlformats.org/officeDocument/2006/extended-properties" xmlns:vt="http://schemas.openxmlformats.org/officeDocument/2006/docPropsVTypes">
  <Template>YYYY-MM-DD-pgd-name-of-pgd-v7_unlocked</Template>
  <TotalTime>14</TotalTime>
  <Pages>24</Pages>
  <Words>3802</Words>
  <Characters>21674</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Administration of rotavirus vaccine, Live (Rotarix®)</vt:lpstr>
    </vt:vector>
  </TitlesOfParts>
  <Company/>
  <LinksUpToDate>false</LinksUpToDate>
  <CharactersWithSpaces>25426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Administration of rotavirus vaccine, Live (Rotarix®)</dc:title>
  <dc:subject>vaccines, immunisation, rotavirus</dc:subject>
  <dc:creator>Public Health Scotland</dc:creator>
  <cp:keywords>vaccines, immunisation, rotavirus</cp:keywords>
  <dc:description/>
  <cp:lastModifiedBy>Tracy Taylor</cp:lastModifiedBy>
  <cp:revision>9</cp:revision>
  <cp:lastPrinted>2021-11-12T09:52:00Z</cp:lastPrinted>
  <dcterms:created xsi:type="dcterms:W3CDTF">2024-07-22T07:12:00Z</dcterms:created>
  <dcterms:modified xsi:type="dcterms:W3CDTF">2024-07-22T16:43:00Z</dcterms:modified>
  <cp:category>Public Health Scotland</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0x010100B919F0D811FB1246921F06E047D9E47F</vt:lpwstr>
  </property>
</Properties>
</file>