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A91D0E" w14:textId="77777777" w:rsidR="000C5B5F" w:rsidRPr="00B104AA" w:rsidRDefault="00021AE4" w:rsidP="00526AFA">
      <w:pPr>
        <w:pStyle w:val="Heading3"/>
        <w:rPr>
          <w:rStyle w:val="Restrictedstatisticstextforpublicationreleases"/>
          <w:b/>
          <w:color w:val="auto"/>
          <w:sz w:val="24"/>
        </w:rPr>
        <w:sectPr w:rsidR="000C5B5F" w:rsidRPr="00B104AA" w:rsidSect="006A2E18">
          <w:footerReference w:type="default" r:id="rId11"/>
          <w:headerReference w:type="first" r:id="rId12"/>
          <w:footerReference w:type="first" r:id="rId13"/>
          <w:footnotePr>
            <w:numFmt w:val="lowerRoman"/>
          </w:footnotePr>
          <w:endnotePr>
            <w:numFmt w:val="decimal"/>
          </w:endnotePr>
          <w:pgSz w:w="11906" w:h="16838"/>
          <w:pgMar w:top="8222" w:right="737" w:bottom="1985" w:left="1418" w:header="737" w:footer="1134" w:gutter="0"/>
          <w:cols w:space="708"/>
          <w:titlePg/>
          <w:docGrid w:linePitch="360"/>
        </w:sectPr>
      </w:pPr>
      <w:bookmarkStart w:id="6" w:name="_Hlk125987243"/>
      <w:r w:rsidRPr="00BB54CC">
        <w:rPr>
          <w:noProof/>
          <w:lang w:eastAsia="en-GB"/>
        </w:rPr>
        <mc:AlternateContent>
          <mc:Choice Requires="wps">
            <w:drawing>
              <wp:inline distT="0" distB="0" distL="0" distR="0" wp14:anchorId="77C80FB4" wp14:editId="326443C1">
                <wp:extent cx="4886325" cy="3949700"/>
                <wp:effectExtent l="0" t="0" r="9525" b="12700"/>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6325" cy="394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bookmarkStart w:id="7" w:name="_Toc324429979" w:displacedByCustomXml="next"/>
                          <w:bookmarkStart w:id="8" w:name="_Toc324429932" w:displacedByCustomXml="next"/>
                          <w:bookmarkStart w:id="9" w:name="_Toc323040046" w:displacedByCustomXml="next"/>
                          <w:bookmarkStart w:id="10" w:name="_Toc322600037" w:displacedByCustomXml="next"/>
                          <w:bookmarkStart w:id="11" w:name="_Toc322600015" w:displacedByCustomXml="next"/>
                          <w:bookmarkStart w:id="12" w:name="_Toc322599008" w:displacedByCustomXml="next"/>
                          <w:sdt>
                            <w:sdtPr>
                              <w:alias w:val="Title"/>
                              <w:tag w:val=""/>
                              <w:id w:val="1997915227"/>
                              <w:placeholder>
                                <w:docPart w:val="77B82313F6464AF4BFA041C0AA5D703A"/>
                              </w:placeholder>
                              <w:dataBinding w:prefixMappings="xmlns:ns0='http://purl.org/dc/elements/1.1/' xmlns:ns1='http://schemas.openxmlformats.org/package/2006/metadata/core-properties' " w:xpath="/ns1:coreProperties[1]/ns0:title[1]" w:storeItemID="{6C3C8BC8-F283-45AE-878A-BAB7291924A1}"/>
                              <w:text/>
                            </w:sdtPr>
                            <w:sdtEndPr/>
                            <w:sdtContent>
                              <w:p w14:paraId="4F63489C" w14:textId="3935DFAB" w:rsidR="00D202E2" w:rsidRPr="00C80488" w:rsidRDefault="003A3D56" w:rsidP="003A3D56">
                                <w:pPr>
                                  <w:pStyle w:val="PublicationTitle"/>
                                </w:pPr>
                                <w:r w:rsidRPr="00CD0623">
                                  <w:t xml:space="preserve">Administration of COVID-19 </w:t>
                                </w:r>
                                <w:r>
                                  <w:t xml:space="preserve">mRNA </w:t>
                                </w:r>
                                <w:r w:rsidRPr="00CD0623">
                                  <w:t>vaccine</w:t>
                                </w:r>
                                <w:r>
                                  <w:t>s to individuals aged 18 years and over</w:t>
                                </w:r>
                              </w:p>
                            </w:sdtContent>
                          </w:sdt>
                          <w:p w14:paraId="2EE567AF" w14:textId="77777777" w:rsidR="00D202E2" w:rsidRPr="001456DB" w:rsidRDefault="00D202E2" w:rsidP="003A3D56">
                            <w:pPr>
                              <w:pStyle w:val="Publicationsubtitle"/>
                            </w:pPr>
                            <w:r>
                              <w:t>Patient group dir</w:t>
                            </w:r>
                            <w:r w:rsidRPr="001456DB">
                              <w:t>ection (PGD) template</w:t>
                            </w:r>
                          </w:p>
                          <w:p w14:paraId="31C76457" w14:textId="538FA5C9" w:rsidR="00D202E2" w:rsidRPr="00A70E7E" w:rsidRDefault="00D202E2" w:rsidP="00DE4562">
                            <w:pPr>
                              <w:pStyle w:val="Publicationdate"/>
                            </w:pPr>
                            <w:r w:rsidRPr="001456DB">
                              <w:t>Public</w:t>
                            </w:r>
                            <w:r w:rsidR="00B23BDB" w:rsidRPr="001456DB">
                              <w:t>a</w:t>
                            </w:r>
                            <w:r w:rsidRPr="001456DB">
                              <w:t xml:space="preserve">tion date: </w:t>
                            </w:r>
                            <w:bookmarkEnd w:id="12"/>
                            <w:bookmarkEnd w:id="11"/>
                            <w:bookmarkEnd w:id="10"/>
                            <w:bookmarkEnd w:id="9"/>
                            <w:bookmarkEnd w:id="8"/>
                            <w:bookmarkEnd w:id="7"/>
                            <w:r w:rsidR="005F6102">
                              <w:t>1</w:t>
                            </w:r>
                            <w:r w:rsidR="008A0E25">
                              <w:t>9</w:t>
                            </w:r>
                            <w:r w:rsidR="005F6102">
                              <w:t xml:space="preserve"> </w:t>
                            </w:r>
                            <w:r w:rsidR="00271E57">
                              <w:t>March</w:t>
                            </w:r>
                            <w:r w:rsidR="001456DB">
                              <w:t xml:space="preserve"> </w:t>
                            </w:r>
                            <w:r w:rsidR="00F609D7" w:rsidRPr="001456DB">
                              <w:t>202</w:t>
                            </w:r>
                            <w:r w:rsidR="00DE5DEC">
                              <w:t>5</w:t>
                            </w:r>
                          </w:p>
                        </w:txbxContent>
                      </wps:txbx>
                      <wps:bodyPr rot="0" vert="horz" wrap="square" lIns="0" tIns="0" rIns="0" bIns="0" anchor="t" anchorCtr="0" upright="1">
                        <a:noAutofit/>
                      </wps:bodyPr>
                    </wps:wsp>
                  </a:graphicData>
                </a:graphic>
              </wp:inline>
            </w:drawing>
          </mc:Choice>
          <mc:Fallback>
            <w:pict>
              <v:shapetype w14:anchorId="77C80FB4" id="_x0000_t202" coordsize="21600,21600" o:spt="202" path="m,l,21600r21600,l21600,xe">
                <v:stroke joinstyle="miter"/>
                <v:path gradientshapeok="t" o:connecttype="rect"/>
              </v:shapetype>
              <v:shape id="Text Box 12" o:spid="_x0000_s1026" type="#_x0000_t202" style="width:384.75pt;height:31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" filled="f" stroked="f">
                <v:textbox inset="0,0,0,0">
                  <w:txbxContent>
                    <w:bookmarkStart w:id="13" w:name="_Toc324429979" w:displacedByCustomXml="next"/>
                    <w:bookmarkStart w:id="14" w:name="_Toc324429932" w:displacedByCustomXml="next"/>
                    <w:bookmarkStart w:id="15" w:name="_Toc323040046" w:displacedByCustomXml="next"/>
                    <w:bookmarkStart w:id="16" w:name="_Toc322600037" w:displacedByCustomXml="next"/>
                    <w:bookmarkStart w:id="17" w:name="_Toc322600015" w:displacedByCustomXml="next"/>
                    <w:bookmarkStart w:id="18" w:name="_Toc322599008" w:displacedByCustomXml="next"/>
                    <w:sdt>
                      <w:sdtPr>
                        <w:alias w:val="Title"/>
                        <w:tag w:val=""/>
                        <w:id w:val="1997915227"/>
                        <w:placeholder>
                          <w:docPart w:val="77B82313F6464AF4BFA041C0AA5D703A"/>
                        </w:placeholder>
                        <w:dataBinding w:prefixMappings="xmlns:ns0='http://purl.org/dc/elements/1.1/' xmlns:ns1='http://schemas.openxmlformats.org/package/2006/metadata/core-properties' " w:xpath="/ns1:coreProperties[1]/ns0:title[1]" w:storeItemID="{6C3C8BC8-F283-45AE-878A-BAB7291924A1}"/>
                        <w:text/>
                      </w:sdtPr>
                      <w:sdtEndPr/>
                      <w:sdtContent>
                        <w:p w14:paraId="4F63489C" w14:textId="3935DFAB" w:rsidR="00D202E2" w:rsidRPr="00C80488" w:rsidRDefault="003A3D56" w:rsidP="003A3D56">
                          <w:pPr>
                            <w:pStyle w:val="PublicationTitle"/>
                          </w:pPr>
                          <w:r w:rsidRPr="00CD0623">
                            <w:t xml:space="preserve">Administration of COVID-19 </w:t>
                          </w:r>
                          <w:r>
                            <w:t xml:space="preserve">mRNA </w:t>
                          </w:r>
                          <w:r w:rsidRPr="00CD0623">
                            <w:t>vaccine</w:t>
                          </w:r>
                          <w:r>
                            <w:t>s to individuals aged 18 years and over</w:t>
                          </w:r>
                        </w:p>
                      </w:sdtContent>
                    </w:sdt>
                    <w:p w14:paraId="2EE567AF" w14:textId="77777777" w:rsidR="00D202E2" w:rsidRPr="001456DB" w:rsidRDefault="00D202E2" w:rsidP="003A3D56">
                      <w:pPr>
                        <w:pStyle w:val="Publicationsubtitle"/>
                      </w:pPr>
                      <w:r>
                        <w:t>Patient group dir</w:t>
                      </w:r>
                      <w:r w:rsidRPr="001456DB">
                        <w:t>ection (PGD) template</w:t>
                      </w:r>
                    </w:p>
                    <w:p w14:paraId="31C76457" w14:textId="538FA5C9" w:rsidR="00D202E2" w:rsidRPr="00A70E7E" w:rsidRDefault="00D202E2" w:rsidP="00DE4562">
                      <w:pPr>
                        <w:pStyle w:val="Publicationdate"/>
                      </w:pPr>
                      <w:r w:rsidRPr="001456DB">
                        <w:t>Public</w:t>
                      </w:r>
                      <w:r w:rsidR="00B23BDB" w:rsidRPr="001456DB">
                        <w:t>a</w:t>
                      </w:r>
                      <w:r w:rsidRPr="001456DB">
                        <w:t xml:space="preserve">tion date: </w:t>
                      </w:r>
                      <w:bookmarkEnd w:id="18"/>
                      <w:bookmarkEnd w:id="17"/>
                      <w:bookmarkEnd w:id="16"/>
                      <w:bookmarkEnd w:id="15"/>
                      <w:bookmarkEnd w:id="14"/>
                      <w:bookmarkEnd w:id="13"/>
                      <w:r w:rsidR="005F6102">
                        <w:t>1</w:t>
                      </w:r>
                      <w:r w:rsidR="008A0E25">
                        <w:t>9</w:t>
                      </w:r>
                      <w:r w:rsidR="005F6102">
                        <w:t xml:space="preserve"> </w:t>
                      </w:r>
                      <w:r w:rsidR="00271E57">
                        <w:t>March</w:t>
                      </w:r>
                      <w:r w:rsidR="001456DB">
                        <w:t xml:space="preserve"> </w:t>
                      </w:r>
                      <w:r w:rsidR="00F609D7" w:rsidRPr="001456DB">
                        <w:t>202</w:t>
                      </w:r>
                      <w:r w:rsidR="00DE5DEC">
                        <w:t>5</w:t>
                      </w:r>
                    </w:p>
                  </w:txbxContent>
                </v:textbox>
                <w10:anchorlock/>
              </v:shape>
            </w:pict>
          </mc:Fallback>
        </mc:AlternateContent>
      </w:r>
    </w:p>
    <w:p w14:paraId="13CC5351" w14:textId="77777777" w:rsidR="00CA59CF" w:rsidRDefault="00CA59CF" w:rsidP="00CA59CF">
      <w:r>
        <w:rPr>
          <w:noProof/>
          <w:lang w:eastAsia="en-GB"/>
        </w:rPr>
        <w:lastRenderedPageBreak/>
        <w:drawing>
          <wp:inline distT="0" distB="0" distL="0" distR="0" wp14:anchorId="57C8B4C3" wp14:editId="49CB721C">
            <wp:extent cx="5759450" cy="1092835"/>
            <wp:effectExtent l="0" t="0" r="0" b="0"/>
            <wp:docPr id="15" name="Picture 15" descr="Alternative format options icons showing, translations, easy read, BSL, audio, large print and Br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ternative format options icons showing, translations, easy read, BSL, audio, large print and Braill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1092835"/>
                    </a:xfrm>
                    <a:prstGeom prst="rect">
                      <a:avLst/>
                    </a:prstGeom>
                    <a:noFill/>
                    <a:ln>
                      <a:noFill/>
                    </a:ln>
                  </pic:spPr>
                </pic:pic>
              </a:graphicData>
            </a:graphic>
          </wp:inline>
        </w:drawing>
      </w:r>
    </w:p>
    <w:p w14:paraId="20A50ADE" w14:textId="77777777" w:rsidR="00CA59CF" w:rsidRDefault="00CA59CF" w:rsidP="00CA59CF">
      <w:pPr>
        <w:pStyle w:val="ImprintpagetextEditorialuseonly"/>
      </w:pPr>
      <w:r>
        <w:t>Translations and other formats are available on request at:</w:t>
      </w:r>
    </w:p>
    <w:p w14:paraId="769EA237" w14:textId="77777777" w:rsidR="00CA59CF" w:rsidRDefault="00CA59CF" w:rsidP="00CA59CF">
      <w:pPr>
        <w:pStyle w:val="ImprintpagetextEditorialuseonly"/>
        <w:rPr>
          <w:rStyle w:val="Bold"/>
        </w:rPr>
      </w:pPr>
      <w:r>
        <w:rPr>
          <w:noProof/>
          <w:position w:val="-14"/>
          <w:lang w:eastAsia="en-GB"/>
        </w:rPr>
        <w:drawing>
          <wp:inline distT="0" distB="0" distL="0" distR="0" wp14:anchorId="1CE56AC6" wp14:editId="56727B1A">
            <wp:extent cx="285115" cy="273050"/>
            <wp:effectExtent l="0" t="0" r="635" b="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5115" cy="273050"/>
                    </a:xfrm>
                    <a:prstGeom prst="rect">
                      <a:avLst/>
                    </a:prstGeom>
                    <a:noFill/>
                    <a:ln>
                      <a:noFill/>
                    </a:ln>
                  </pic:spPr>
                </pic:pic>
              </a:graphicData>
            </a:graphic>
          </wp:inline>
        </w:drawing>
      </w:r>
      <w:r>
        <w:rPr>
          <w:rStyle w:val="ImprintpageiconsEditorialuseonly"/>
        </w:rPr>
        <w:t xml:space="preserve"> </w:t>
      </w:r>
      <w:hyperlink r:id="rId16" w:history="1">
        <w:r w:rsidRPr="00C11B24">
          <w:rPr>
            <w:rStyle w:val="Hyperlink"/>
          </w:rPr>
          <w:t>phs.otherformats@phs.scot</w:t>
        </w:r>
      </w:hyperlink>
      <w:r>
        <w:rPr>
          <w:b/>
          <w:bCs/>
          <w:color w:val="43358B"/>
        </w:rPr>
        <w:br/>
      </w:r>
      <w:r>
        <w:rPr>
          <w:noProof/>
          <w:position w:val="-14"/>
          <w:lang w:eastAsia="en-GB"/>
        </w:rPr>
        <w:drawing>
          <wp:inline distT="0" distB="0" distL="0" distR="0" wp14:anchorId="6C1960A1" wp14:editId="39002AB0">
            <wp:extent cx="285115" cy="285115"/>
            <wp:effectExtent l="0" t="0" r="635" b="635"/>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5115" cy="285115"/>
                    </a:xfrm>
                    <a:prstGeom prst="rect">
                      <a:avLst/>
                    </a:prstGeom>
                    <a:noFill/>
                    <a:ln>
                      <a:noFill/>
                    </a:ln>
                  </pic:spPr>
                </pic:pic>
              </a:graphicData>
            </a:graphic>
          </wp:inline>
        </w:drawing>
      </w:r>
      <w:r>
        <w:rPr>
          <w:rStyle w:val="ImprintpageiconsEditorialuseonly"/>
        </w:rPr>
        <w:t xml:space="preserve"> </w:t>
      </w:r>
      <w:r>
        <w:rPr>
          <w:rStyle w:val="Bold"/>
        </w:rPr>
        <w:t>0131 314 5300</w:t>
      </w:r>
    </w:p>
    <w:p w14:paraId="3EC20154" w14:textId="77777777" w:rsidR="00CA59CF" w:rsidRDefault="00CA59CF" w:rsidP="00CA59CF">
      <w:pPr>
        <w:pStyle w:val="ImprintpagetextEditorialuseonly"/>
        <w:rPr>
          <w:rStyle w:val="Bold"/>
        </w:rPr>
      </w:pPr>
    </w:p>
    <w:p w14:paraId="33B9DC57" w14:textId="77777777" w:rsidR="00CA59CF" w:rsidRDefault="00CA59CF" w:rsidP="00CA59CF">
      <w:pPr>
        <w:pStyle w:val="ImprintpagetextEditorialuseonly"/>
        <w:rPr>
          <w:rStyle w:val="Bold"/>
        </w:rPr>
      </w:pPr>
    </w:p>
    <w:p w14:paraId="7C46D3DD" w14:textId="77777777" w:rsidR="00CA59CF" w:rsidRDefault="00CA59CF" w:rsidP="00CA59CF">
      <w:pPr>
        <w:pStyle w:val="ImprintpagetextEditorialuseonly"/>
        <w:spacing w:after="360"/>
      </w:pPr>
      <w:r>
        <w:t xml:space="preserve">Public Health Scotland is Scotland's </w:t>
      </w:r>
      <w:r>
        <w:br/>
        <w:t xml:space="preserve">national agency for improving and </w:t>
      </w:r>
      <w:r>
        <w:br/>
        <w:t xml:space="preserve">protecting the health and wellbeing </w:t>
      </w:r>
      <w:r>
        <w:br/>
        <w:t>of Scotland's people.</w:t>
      </w:r>
    </w:p>
    <w:p w14:paraId="443AB275" w14:textId="4EE90A25" w:rsidR="00CA59CF" w:rsidRDefault="00CA59CF" w:rsidP="00CA59CF">
      <w:pPr>
        <w:pStyle w:val="ImprintpagetextEditorialuseonly"/>
      </w:pPr>
      <w:r>
        <w:t>© Public Health Scotland</w:t>
      </w:r>
      <w:r w:rsidR="007544E3">
        <w:t xml:space="preserve"> </w:t>
      </w:r>
      <w:r w:rsidR="00F609D7">
        <w:t>202</w:t>
      </w:r>
      <w:r w:rsidR="0033217B">
        <w:t>5</w:t>
      </w:r>
    </w:p>
    <w:p w14:paraId="1ADCFF02" w14:textId="77777777" w:rsidR="00CA59CF" w:rsidRDefault="00CA59CF" w:rsidP="00CA59CF">
      <w:pPr>
        <w:pStyle w:val="ImprintpagetextEditorialuseonly"/>
      </w:pPr>
    </w:p>
    <w:p w14:paraId="2B2FB4AA" w14:textId="77777777" w:rsidR="00CA59CF" w:rsidRPr="007A5E73" w:rsidRDefault="00CA59CF" w:rsidP="00CA59CF">
      <w:pPr>
        <w:pStyle w:val="ImprintpagetextEditorialuseonly"/>
      </w:pPr>
      <w:r w:rsidRPr="007A5E73">
        <w:rPr>
          <w:noProof/>
          <w:lang w:eastAsia="en-GB"/>
        </w:rPr>
        <w:drawing>
          <wp:inline distT="0" distB="0" distL="0" distR="0" wp14:anchorId="31C6AAF3" wp14:editId="2D98F58F">
            <wp:extent cx="902335" cy="427355"/>
            <wp:effectExtent l="0" t="0" r="0" b="0"/>
            <wp:docPr id="7" name="Picture 7" descr="Open Government Lice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pen Government Licence logo"/>
                    <pic:cNvPicPr>
                      <a:picLocks noChangeAspect="1" noChangeArrowheads="1"/>
                    </pic:cNvPicPr>
                  </pic:nvPicPr>
                  <pic:blipFill>
                    <a:blip r:embed="rId18">
                      <a:extLst>
                        <a:ext uri="{28A0092B-C50C-407E-A947-70E740481C1C}">
                          <a14:useLocalDpi xmlns:a14="http://schemas.microsoft.com/office/drawing/2010/main" val="0"/>
                        </a:ext>
                      </a:extLst>
                    </a:blip>
                    <a:srcRect t="4553"/>
                    <a:stretch>
                      <a:fillRect/>
                    </a:stretch>
                  </pic:blipFill>
                  <pic:spPr bwMode="auto">
                    <a:xfrm>
                      <a:off x="0" y="0"/>
                      <a:ext cx="902335" cy="427355"/>
                    </a:xfrm>
                    <a:prstGeom prst="rect">
                      <a:avLst/>
                    </a:prstGeom>
                    <a:noFill/>
                    <a:ln>
                      <a:noFill/>
                    </a:ln>
                  </pic:spPr>
                </pic:pic>
              </a:graphicData>
            </a:graphic>
          </wp:inline>
        </w:drawing>
      </w:r>
      <w:r w:rsidRPr="007A5E73">
        <w:br/>
        <w:t xml:space="preserve">This publication is licensed for re-use </w:t>
      </w:r>
      <w:r w:rsidRPr="007A5E73">
        <w:br/>
        <w:t xml:space="preserve">under the </w:t>
      </w:r>
      <w:hyperlink r:id="rId19" w:history="1">
        <w:r w:rsidRPr="007A5E73">
          <w:rPr>
            <w:rStyle w:val="Hyperlink"/>
          </w:rPr>
          <w:t>Open Government Licence v3.0</w:t>
        </w:r>
      </w:hyperlink>
      <w:r w:rsidRPr="007A5E73">
        <w:t>.</w:t>
      </w:r>
    </w:p>
    <w:p w14:paraId="6032956E" w14:textId="77777777" w:rsidR="00CA59CF" w:rsidRPr="007A5E73" w:rsidRDefault="00CA59CF" w:rsidP="00CA59CF">
      <w:pPr>
        <w:pStyle w:val="ImprintpagetextEditorialuseonly"/>
        <w:rPr>
          <w:rStyle w:val="Hyperlink"/>
        </w:rPr>
      </w:pPr>
      <w:r w:rsidRPr="007A5E73">
        <w:t xml:space="preserve">For more information, visit </w:t>
      </w:r>
      <w:r w:rsidRPr="007A5E73">
        <w:br/>
      </w:r>
      <w:hyperlink r:id="rId20" w:history="1">
        <w:r w:rsidRPr="007A5E73">
          <w:rPr>
            <w:rStyle w:val="Hyperlink"/>
          </w:rPr>
          <w:t>www.publichealthscotland.scot/ogl</w:t>
        </w:r>
      </w:hyperlink>
      <w:r w:rsidRPr="007A5E73">
        <w:rPr>
          <w:rStyle w:val="Hyperlink"/>
        </w:rPr>
        <w:t xml:space="preserve"> </w:t>
      </w:r>
    </w:p>
    <w:p w14:paraId="0F9B753B" w14:textId="77777777" w:rsidR="00CA59CF" w:rsidRPr="007A5E73" w:rsidRDefault="00CA59CF" w:rsidP="00CA59CF"/>
    <w:p w14:paraId="59ED0ADC" w14:textId="77777777" w:rsidR="00CA59CF" w:rsidRPr="007A5E73" w:rsidRDefault="00CA59CF" w:rsidP="00CA59CF">
      <w:pPr>
        <w:rPr>
          <w:rStyle w:val="hidePElogoEditoraluseonly"/>
        </w:rPr>
      </w:pPr>
      <w:r w:rsidRPr="007A5E73">
        <w:rPr>
          <w:noProof/>
          <w:vanish/>
          <w:lang w:eastAsia="en-GB"/>
        </w:rPr>
        <w:drawing>
          <wp:inline distT="0" distB="0" distL="0" distR="0" wp14:anchorId="60113B26" wp14:editId="10171698">
            <wp:extent cx="1033145" cy="878840"/>
            <wp:effectExtent l="0" t="0" r="0" b="0"/>
            <wp:docPr id="4" name="Picture 4" descr="Plain English Campaig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Plain English Campaign logo"/>
                    <pic:cNvPicPr>
                      <a:picLocks noChangeAspect="1" noChangeArrowheads="1"/>
                    </pic:cNvPicPr>
                  </pic:nvPicPr>
                  <pic:blipFill>
                    <a:blip r:embed="rId21">
                      <a:extLst>
                        <a:ext uri="{28A0092B-C50C-407E-A947-70E740481C1C}">
                          <a14:useLocalDpi xmlns:a14="http://schemas.microsoft.com/office/drawing/2010/main" val="0"/>
                        </a:ext>
                      </a:extLst>
                    </a:blip>
                    <a:srcRect l="21" r="21"/>
                    <a:stretch>
                      <a:fillRect/>
                    </a:stretch>
                  </pic:blipFill>
                  <pic:spPr bwMode="auto">
                    <a:xfrm>
                      <a:off x="0" y="0"/>
                      <a:ext cx="1033145" cy="878840"/>
                    </a:xfrm>
                    <a:prstGeom prst="rect">
                      <a:avLst/>
                    </a:prstGeom>
                    <a:noFill/>
                    <a:ln>
                      <a:noFill/>
                    </a:ln>
                  </pic:spPr>
                </pic:pic>
              </a:graphicData>
            </a:graphic>
          </wp:inline>
        </w:drawing>
      </w:r>
      <w:r w:rsidRPr="007A5E73">
        <w:rPr>
          <w:rStyle w:val="hidePElogoEditoraluseonly"/>
        </w:rPr>
        <w:t xml:space="preserve"> </w:t>
      </w:r>
      <w:r w:rsidR="00C146BF">
        <w:rPr>
          <w:rStyle w:val="hidePElogoEditoraluseonly"/>
        </w:rPr>
        <w:t xml:space="preserve">  </w:t>
      </w:r>
    </w:p>
    <w:p w14:paraId="75C67D20" w14:textId="77777777" w:rsidR="00292910" w:rsidRPr="007A5E73" w:rsidRDefault="00CA59CF" w:rsidP="00CA59CF">
      <w:pPr>
        <w:rPr>
          <w:lang w:val="en-US"/>
        </w:rPr>
        <w:sectPr w:rsidR="00292910" w:rsidRPr="007A5E73" w:rsidSect="006A2E18">
          <w:footerReference w:type="default" r:id="rId22"/>
          <w:footnotePr>
            <w:numFmt w:val="lowerRoman"/>
          </w:footnotePr>
          <w:endnotePr>
            <w:numFmt w:val="decimal"/>
          </w:endnotePr>
          <w:pgSz w:w="11906" w:h="16838"/>
          <w:pgMar w:top="851" w:right="1418" w:bottom="1134" w:left="1418" w:header="680" w:footer="624" w:gutter="0"/>
          <w:pgNumType w:start="1"/>
          <w:cols w:space="708"/>
          <w:docGrid w:linePitch="360"/>
        </w:sectPr>
      </w:pPr>
      <w:hyperlink r:id="rId23" w:history="1">
        <w:r w:rsidRPr="007A5E73">
          <w:rPr>
            <w:rStyle w:val="ImprintPHSlinkEditorialuseonly"/>
          </w:rPr>
          <w:t>www.publichealthscotland.scot</w:t>
        </w:r>
      </w:hyperlink>
    </w:p>
    <w:p w14:paraId="5ABB2158" w14:textId="77777777" w:rsidR="00B060A4" w:rsidRPr="000D322E" w:rsidRDefault="0024328C" w:rsidP="00E3258D">
      <w:pPr>
        <w:pStyle w:val="NormalH1"/>
      </w:pPr>
      <w:bookmarkStart w:id="19" w:name="_Toc193362801"/>
      <w:r>
        <w:lastRenderedPageBreak/>
        <w:t>Most recent changes</w:t>
      </w:r>
      <w:bookmarkEnd w:id="19"/>
    </w:p>
    <w:tbl>
      <w:tblPr>
        <w:tblStyle w:val="TableGrid"/>
        <w:tblW w:w="9209" w:type="dxa"/>
        <w:tblLayout w:type="fixed"/>
        <w:tblLook w:val="0620" w:firstRow="1" w:lastRow="0" w:firstColumn="0" w:lastColumn="0" w:noHBand="1" w:noVBand="1"/>
      </w:tblPr>
      <w:tblGrid>
        <w:gridCol w:w="1129"/>
        <w:gridCol w:w="2268"/>
        <w:gridCol w:w="5812"/>
      </w:tblGrid>
      <w:tr w:rsidR="00B060A4" w14:paraId="31DD500B" w14:textId="77777777" w:rsidTr="00834A14">
        <w:trPr>
          <w:cnfStyle w:val="100000000000" w:firstRow="1" w:lastRow="0" w:firstColumn="0" w:lastColumn="0" w:oddVBand="0" w:evenVBand="0" w:oddHBand="0" w:evenHBand="0" w:firstRowFirstColumn="0" w:firstRowLastColumn="0" w:lastRowFirstColumn="0" w:lastRowLastColumn="0"/>
          <w:trHeight w:val="397"/>
        </w:trPr>
        <w:tc>
          <w:tcPr>
            <w:tcW w:w="1129" w:type="dxa"/>
          </w:tcPr>
          <w:p w14:paraId="57FB1C63" w14:textId="77777777" w:rsidR="00B060A4" w:rsidRDefault="00B060A4" w:rsidP="00D202E2">
            <w:pPr>
              <w:pStyle w:val="TableHead"/>
            </w:pPr>
            <w:r>
              <w:t>Version</w:t>
            </w:r>
          </w:p>
        </w:tc>
        <w:tc>
          <w:tcPr>
            <w:tcW w:w="2268" w:type="dxa"/>
          </w:tcPr>
          <w:p w14:paraId="577CDFA0" w14:textId="77777777" w:rsidR="00B060A4" w:rsidRDefault="00B060A4" w:rsidP="00D202E2">
            <w:pPr>
              <w:pStyle w:val="TableHead"/>
            </w:pPr>
            <w:r>
              <w:t>Date</w:t>
            </w:r>
          </w:p>
        </w:tc>
        <w:tc>
          <w:tcPr>
            <w:tcW w:w="5812" w:type="dxa"/>
          </w:tcPr>
          <w:p w14:paraId="6C9BD8E9" w14:textId="77777777" w:rsidR="00B060A4" w:rsidRDefault="00B060A4" w:rsidP="00D202E2">
            <w:pPr>
              <w:pStyle w:val="TableHead"/>
            </w:pPr>
            <w:r>
              <w:t>Summary of changes</w:t>
            </w:r>
          </w:p>
        </w:tc>
      </w:tr>
      <w:tr w:rsidR="00F609D7" w:rsidRPr="00684E73" w14:paraId="1E1A5680" w14:textId="77777777" w:rsidTr="00F609D7">
        <w:tblPrEx>
          <w:tblLook w:val="04A0" w:firstRow="1" w:lastRow="0" w:firstColumn="1" w:lastColumn="0" w:noHBand="0" w:noVBand="1"/>
        </w:tblPrEx>
        <w:trPr>
          <w:trHeight w:val="397"/>
        </w:trPr>
        <w:tc>
          <w:tcPr>
            <w:tcW w:w="1129" w:type="dxa"/>
          </w:tcPr>
          <w:p w14:paraId="46D45F38" w14:textId="5186DD91" w:rsidR="00F609D7" w:rsidRPr="00684E73" w:rsidRDefault="0033217B" w:rsidP="004D1B01">
            <w:pPr>
              <w:pStyle w:val="TableBody"/>
            </w:pPr>
            <w:r>
              <w:t>5</w:t>
            </w:r>
            <w:r w:rsidR="00CD4EC5">
              <w:t>.0</w:t>
            </w:r>
          </w:p>
        </w:tc>
        <w:tc>
          <w:tcPr>
            <w:tcW w:w="2268" w:type="dxa"/>
          </w:tcPr>
          <w:p w14:paraId="5C55C36E" w14:textId="11C6291D" w:rsidR="00F609D7" w:rsidRPr="00684E73" w:rsidRDefault="00A52DBF" w:rsidP="004D1B01">
            <w:pPr>
              <w:pStyle w:val="TableBody"/>
            </w:pPr>
            <w:r>
              <w:t>1</w:t>
            </w:r>
            <w:r w:rsidR="008A0E25">
              <w:t>9</w:t>
            </w:r>
            <w:r w:rsidR="00271E57">
              <w:t xml:space="preserve"> March</w:t>
            </w:r>
            <w:r w:rsidR="001456DB">
              <w:t xml:space="preserve"> </w:t>
            </w:r>
            <w:r w:rsidR="00CD4EC5">
              <w:t>202</w:t>
            </w:r>
            <w:r w:rsidR="0063677F">
              <w:t>5</w:t>
            </w:r>
          </w:p>
        </w:tc>
        <w:tc>
          <w:tcPr>
            <w:tcW w:w="5812" w:type="dxa"/>
          </w:tcPr>
          <w:p w14:paraId="6532A4CA" w14:textId="6DF2D73C" w:rsidR="00E145A9" w:rsidRDefault="00E145A9" w:rsidP="00E145A9">
            <w:pPr>
              <w:pStyle w:val="Tablebullet1"/>
              <w:numPr>
                <w:ilvl w:val="0"/>
                <w:numId w:val="0"/>
              </w:numPr>
              <w:rPr>
                <w:rStyle w:val="eop"/>
                <w:rFonts w:cs="Arial"/>
                <w:color w:val="262626"/>
                <w:shd w:val="clear" w:color="auto" w:fill="FFFFFF"/>
              </w:rPr>
            </w:pPr>
            <w:r>
              <w:rPr>
                <w:rStyle w:val="normaltextrun"/>
                <w:rFonts w:cs="Arial"/>
                <w:color w:val="262626"/>
                <w:shd w:val="clear" w:color="auto" w:fill="FFFFFF"/>
              </w:rPr>
              <w:t xml:space="preserve">The following changes to version </w:t>
            </w:r>
            <w:r w:rsidR="0063677F">
              <w:rPr>
                <w:rStyle w:val="normaltextrun"/>
                <w:rFonts w:cs="Arial"/>
                <w:color w:val="262626"/>
                <w:shd w:val="clear" w:color="auto" w:fill="FFFFFF"/>
              </w:rPr>
              <w:t>4</w:t>
            </w:r>
            <w:r w:rsidR="002F6AB8">
              <w:rPr>
                <w:rStyle w:val="normaltextrun"/>
                <w:rFonts w:cs="Arial"/>
                <w:color w:val="262626"/>
                <w:shd w:val="clear" w:color="auto" w:fill="FFFFFF"/>
              </w:rPr>
              <w:t>.0</w:t>
            </w:r>
            <w:r>
              <w:rPr>
                <w:rStyle w:val="normaltextrun"/>
                <w:rFonts w:cs="Arial"/>
                <w:color w:val="262626"/>
                <w:shd w:val="clear" w:color="auto" w:fill="FFFFFF"/>
              </w:rPr>
              <w:t xml:space="preserve"> of the PGD have been made:</w:t>
            </w:r>
            <w:r>
              <w:rPr>
                <w:rStyle w:val="eop"/>
                <w:rFonts w:cs="Arial"/>
                <w:color w:val="262626"/>
                <w:shd w:val="clear" w:color="auto" w:fill="FFFFFF"/>
              </w:rPr>
              <w:t> </w:t>
            </w:r>
          </w:p>
          <w:p w14:paraId="132A5543" w14:textId="30F661F5" w:rsidR="00C01FAB" w:rsidRPr="003F7817" w:rsidRDefault="006F47DB" w:rsidP="003F7817">
            <w:pPr>
              <w:pStyle w:val="Tablebullet1"/>
              <w:rPr>
                <w:rStyle w:val="eop"/>
              </w:rPr>
            </w:pPr>
            <w:r w:rsidRPr="003F7817">
              <w:rPr>
                <w:rStyle w:val="eop"/>
              </w:rPr>
              <w:t>Section 1.4 Co</w:t>
            </w:r>
            <w:r w:rsidR="003F7817">
              <w:rPr>
                <w:rStyle w:val="eop"/>
              </w:rPr>
              <w:t>-</w:t>
            </w:r>
            <w:r w:rsidRPr="003F7817">
              <w:rPr>
                <w:rStyle w:val="eop"/>
              </w:rPr>
              <w:t>administration with other vaccines section updated to include</w:t>
            </w:r>
            <w:r w:rsidR="00D63E06" w:rsidRPr="003F7817">
              <w:rPr>
                <w:rStyle w:val="eop"/>
              </w:rPr>
              <w:t xml:space="preserve"> </w:t>
            </w:r>
            <w:r w:rsidR="00D47DD9" w:rsidRPr="003F7817">
              <w:rPr>
                <w:rStyle w:val="eop"/>
              </w:rPr>
              <w:t>p</w:t>
            </w:r>
            <w:r w:rsidR="00DB60E1" w:rsidRPr="003F7817">
              <w:rPr>
                <w:rStyle w:val="eop"/>
              </w:rPr>
              <w:t xml:space="preserve">regnant women can safely have </w:t>
            </w:r>
            <w:proofErr w:type="spellStart"/>
            <w:r w:rsidR="00DB60E1" w:rsidRPr="003F7817">
              <w:rPr>
                <w:rStyle w:val="eop"/>
              </w:rPr>
              <w:t>Abrysvo</w:t>
            </w:r>
            <w:proofErr w:type="spellEnd"/>
            <w:r w:rsidR="00DB60E1" w:rsidRPr="003F7817">
              <w:rPr>
                <w:rStyle w:val="eop"/>
              </w:rPr>
              <w:t xml:space="preserve">® </w:t>
            </w:r>
            <w:r w:rsidR="003F7817">
              <w:rPr>
                <w:rStyle w:val="eop"/>
              </w:rPr>
              <w:br/>
            </w:r>
            <w:r w:rsidR="00DB60E1" w:rsidRPr="003F7817">
              <w:rPr>
                <w:rStyle w:val="eop"/>
              </w:rPr>
              <w:t xml:space="preserve">co-administered with influenza vaccine, </w:t>
            </w:r>
            <w:r w:rsidR="003F7817">
              <w:rPr>
                <w:rStyle w:val="eop"/>
              </w:rPr>
              <w:br/>
            </w:r>
            <w:r w:rsidR="00DB60E1" w:rsidRPr="003F7817">
              <w:rPr>
                <w:rStyle w:val="eop"/>
              </w:rPr>
              <w:t xml:space="preserve">anti-D immunoglobulin or COVID-19 vaccine. </w:t>
            </w:r>
          </w:p>
          <w:p w14:paraId="613735DD" w14:textId="1F5F957B" w:rsidR="00597CD6" w:rsidRPr="00684E73" w:rsidRDefault="00C01FAB" w:rsidP="003F7817">
            <w:pPr>
              <w:pStyle w:val="Tablebullet1"/>
            </w:pPr>
            <w:r w:rsidRPr="003F7817">
              <w:t>Section 2.1</w:t>
            </w:r>
            <w:r w:rsidR="00632E5C" w:rsidRPr="003F7817">
              <w:t>0</w:t>
            </w:r>
            <w:r w:rsidRPr="003F7817">
              <w:t xml:space="preserve"> Is the use </w:t>
            </w:r>
            <w:proofErr w:type="spellStart"/>
            <w:r w:rsidRPr="003F7817">
              <w:t>outwith</w:t>
            </w:r>
            <w:proofErr w:type="spellEnd"/>
            <w:r w:rsidRPr="003F7817">
              <w:t xml:space="preserve"> the </w:t>
            </w:r>
            <w:r w:rsidR="003F7817">
              <w:br/>
            </w:r>
            <w:r w:rsidRPr="003F7817">
              <w:t xml:space="preserve">SmPC section updated to clarify SmPC </w:t>
            </w:r>
            <w:r w:rsidR="003F7817">
              <w:br/>
            </w:r>
            <w:r w:rsidR="008B2521" w:rsidRPr="003F7817">
              <w:t xml:space="preserve">is </w:t>
            </w:r>
            <w:r w:rsidRPr="003F7817">
              <w:t xml:space="preserve">for Comirnaty JN.1 in relation to </w:t>
            </w:r>
            <w:r w:rsidR="003F7817">
              <w:br/>
            </w:r>
            <w:r w:rsidRPr="003F7817">
              <w:t>15 minute observation.</w:t>
            </w:r>
            <w:r>
              <w:t xml:space="preserve"> </w:t>
            </w:r>
          </w:p>
        </w:tc>
      </w:tr>
    </w:tbl>
    <w:p w14:paraId="68223A61" w14:textId="77777777" w:rsidR="00B060A4" w:rsidRDefault="00B060A4" w:rsidP="00B060A4"/>
    <w:p w14:paraId="042698AC" w14:textId="77777777" w:rsidR="00B060A4" w:rsidRPr="00B060A4" w:rsidRDefault="00B060A4" w:rsidP="00B060A4">
      <w:pPr>
        <w:sectPr w:rsidR="00B060A4" w:rsidRPr="00B060A4" w:rsidSect="006A2E18">
          <w:footerReference w:type="default" r:id="rId24"/>
          <w:footnotePr>
            <w:numFmt w:val="lowerRoman"/>
          </w:footnotePr>
          <w:endnotePr>
            <w:numFmt w:val="decimal"/>
          </w:endnotePr>
          <w:pgSz w:w="11906" w:h="16838"/>
          <w:pgMar w:top="1418" w:right="1418" w:bottom="1531" w:left="1418" w:header="680" w:footer="624" w:gutter="0"/>
          <w:pgNumType w:start="1"/>
          <w:cols w:space="708"/>
          <w:docGrid w:linePitch="360"/>
        </w:sectPr>
      </w:pPr>
    </w:p>
    <w:p w14:paraId="57BBB482" w14:textId="77777777" w:rsidR="00E10A35" w:rsidRDefault="00E10A35" w:rsidP="00E10A35">
      <w:pPr>
        <w:pStyle w:val="TOCHeading"/>
      </w:pPr>
      <w:r w:rsidRPr="00E10A35">
        <w:lastRenderedPageBreak/>
        <w:t>Contents</w:t>
      </w:r>
    </w:p>
    <w:p w14:paraId="62585242" w14:textId="2BBC6A5D" w:rsidR="005C1C38" w:rsidRDefault="0079389D">
      <w:pPr>
        <w:pStyle w:val="TOC1"/>
        <w:rPr>
          <w:rFonts w:asciiTheme="minorHAnsi" w:eastAsiaTheme="minorEastAsia" w:hAnsiTheme="minorHAnsi"/>
          <w:kern w:val="2"/>
          <w:szCs w:val="24"/>
          <w:lang w:eastAsia="en-GB"/>
          <w14:ligatures w14:val="standardContextual"/>
        </w:rPr>
      </w:pPr>
      <w:r>
        <w:fldChar w:fldCharType="begin"/>
      </w:r>
      <w:r>
        <w:instrText xml:space="preserve"> TOC \o "1-1" \h \z \t "Normal H1,1,Normal H1 numbered,1" </w:instrText>
      </w:r>
      <w:r>
        <w:fldChar w:fldCharType="separate"/>
      </w:r>
      <w:hyperlink w:anchor="_Toc193362801" w:history="1">
        <w:r w:rsidR="005C1C38" w:rsidRPr="00AA7E37">
          <w:rPr>
            <w:rStyle w:val="Hyperlink"/>
          </w:rPr>
          <w:t>Most recent changes</w:t>
        </w:r>
        <w:r w:rsidR="005C1C38">
          <w:rPr>
            <w:webHidden/>
          </w:rPr>
          <w:tab/>
        </w:r>
        <w:r w:rsidR="005C1C38">
          <w:rPr>
            <w:webHidden/>
          </w:rPr>
          <w:fldChar w:fldCharType="begin"/>
        </w:r>
        <w:r w:rsidR="005C1C38">
          <w:rPr>
            <w:webHidden/>
          </w:rPr>
          <w:instrText xml:space="preserve"> PAGEREF _Toc193362801 \h </w:instrText>
        </w:r>
        <w:r w:rsidR="005C1C38">
          <w:rPr>
            <w:webHidden/>
          </w:rPr>
        </w:r>
        <w:r w:rsidR="005C1C38">
          <w:rPr>
            <w:webHidden/>
          </w:rPr>
          <w:fldChar w:fldCharType="separate"/>
        </w:r>
        <w:r w:rsidR="005C1C38">
          <w:rPr>
            <w:webHidden/>
          </w:rPr>
          <w:t>1</w:t>
        </w:r>
        <w:r w:rsidR="005C1C38">
          <w:rPr>
            <w:webHidden/>
          </w:rPr>
          <w:fldChar w:fldCharType="end"/>
        </w:r>
      </w:hyperlink>
    </w:p>
    <w:p w14:paraId="7158AA48" w14:textId="2617F78C" w:rsidR="005C1C38" w:rsidRDefault="005C1C38">
      <w:pPr>
        <w:pStyle w:val="TOC1"/>
        <w:rPr>
          <w:rFonts w:asciiTheme="minorHAnsi" w:eastAsiaTheme="minorEastAsia" w:hAnsiTheme="minorHAnsi"/>
          <w:kern w:val="2"/>
          <w:szCs w:val="24"/>
          <w:lang w:eastAsia="en-GB"/>
          <w14:ligatures w14:val="standardContextual"/>
        </w:rPr>
      </w:pPr>
      <w:hyperlink w:anchor="_Toc193362802" w:history="1">
        <w:r w:rsidRPr="00AA7E37">
          <w:rPr>
            <w:rStyle w:val="Hyperlink"/>
          </w:rPr>
          <w:t>Authorisation</w:t>
        </w:r>
        <w:r>
          <w:rPr>
            <w:webHidden/>
          </w:rPr>
          <w:tab/>
        </w:r>
        <w:r>
          <w:rPr>
            <w:webHidden/>
          </w:rPr>
          <w:fldChar w:fldCharType="begin"/>
        </w:r>
        <w:r>
          <w:rPr>
            <w:webHidden/>
          </w:rPr>
          <w:instrText xml:space="preserve"> PAGEREF _Toc193362802 \h </w:instrText>
        </w:r>
        <w:r>
          <w:rPr>
            <w:webHidden/>
          </w:rPr>
        </w:r>
        <w:r>
          <w:rPr>
            <w:webHidden/>
          </w:rPr>
          <w:fldChar w:fldCharType="separate"/>
        </w:r>
        <w:r>
          <w:rPr>
            <w:webHidden/>
          </w:rPr>
          <w:t>3</w:t>
        </w:r>
        <w:r>
          <w:rPr>
            <w:webHidden/>
          </w:rPr>
          <w:fldChar w:fldCharType="end"/>
        </w:r>
      </w:hyperlink>
    </w:p>
    <w:p w14:paraId="7189731B" w14:textId="1FA73602" w:rsidR="005C1C38" w:rsidRDefault="005C1C38">
      <w:pPr>
        <w:pStyle w:val="TOC1"/>
        <w:rPr>
          <w:rFonts w:asciiTheme="minorHAnsi" w:eastAsiaTheme="minorEastAsia" w:hAnsiTheme="minorHAnsi"/>
          <w:kern w:val="2"/>
          <w:szCs w:val="24"/>
          <w:lang w:eastAsia="en-GB"/>
          <w14:ligatures w14:val="standardContextual"/>
        </w:rPr>
      </w:pPr>
      <w:hyperlink w:anchor="_Toc193362803" w:history="1">
        <w:r w:rsidRPr="00AA7E37">
          <w:rPr>
            <w:rStyle w:val="Hyperlink"/>
          </w:rPr>
          <w:t>1. Clinical situation</w:t>
        </w:r>
        <w:r>
          <w:rPr>
            <w:webHidden/>
          </w:rPr>
          <w:tab/>
        </w:r>
        <w:r>
          <w:rPr>
            <w:webHidden/>
          </w:rPr>
          <w:fldChar w:fldCharType="begin"/>
        </w:r>
        <w:r>
          <w:rPr>
            <w:webHidden/>
          </w:rPr>
          <w:instrText xml:space="preserve"> PAGEREF _Toc193362803 \h </w:instrText>
        </w:r>
        <w:r>
          <w:rPr>
            <w:webHidden/>
          </w:rPr>
        </w:r>
        <w:r>
          <w:rPr>
            <w:webHidden/>
          </w:rPr>
          <w:fldChar w:fldCharType="separate"/>
        </w:r>
        <w:r>
          <w:rPr>
            <w:webHidden/>
          </w:rPr>
          <w:t>4</w:t>
        </w:r>
        <w:r>
          <w:rPr>
            <w:webHidden/>
          </w:rPr>
          <w:fldChar w:fldCharType="end"/>
        </w:r>
      </w:hyperlink>
    </w:p>
    <w:p w14:paraId="4111C2D4" w14:textId="30BF4D0C" w:rsidR="005C1C38" w:rsidRDefault="005C1C38">
      <w:pPr>
        <w:pStyle w:val="TOC1"/>
        <w:rPr>
          <w:rFonts w:asciiTheme="minorHAnsi" w:eastAsiaTheme="minorEastAsia" w:hAnsiTheme="minorHAnsi"/>
          <w:kern w:val="2"/>
          <w:szCs w:val="24"/>
          <w:lang w:eastAsia="en-GB"/>
          <w14:ligatures w14:val="standardContextual"/>
        </w:rPr>
      </w:pPr>
      <w:hyperlink w:anchor="_Toc193362804" w:history="1">
        <w:r w:rsidRPr="00AA7E37">
          <w:rPr>
            <w:rStyle w:val="Hyperlink"/>
          </w:rPr>
          <w:t>2. Description of treatment</w:t>
        </w:r>
        <w:r>
          <w:rPr>
            <w:webHidden/>
          </w:rPr>
          <w:tab/>
        </w:r>
        <w:r>
          <w:rPr>
            <w:webHidden/>
          </w:rPr>
          <w:fldChar w:fldCharType="begin"/>
        </w:r>
        <w:r>
          <w:rPr>
            <w:webHidden/>
          </w:rPr>
          <w:instrText xml:space="preserve"> PAGEREF _Toc193362804 \h </w:instrText>
        </w:r>
        <w:r>
          <w:rPr>
            <w:webHidden/>
          </w:rPr>
        </w:r>
        <w:r>
          <w:rPr>
            <w:webHidden/>
          </w:rPr>
          <w:fldChar w:fldCharType="separate"/>
        </w:r>
        <w:r>
          <w:rPr>
            <w:webHidden/>
          </w:rPr>
          <w:t>11</w:t>
        </w:r>
        <w:r>
          <w:rPr>
            <w:webHidden/>
          </w:rPr>
          <w:fldChar w:fldCharType="end"/>
        </w:r>
      </w:hyperlink>
    </w:p>
    <w:p w14:paraId="616C07C5" w14:textId="66AB9959" w:rsidR="005C1C38" w:rsidRDefault="005C1C38">
      <w:pPr>
        <w:pStyle w:val="TOC1"/>
        <w:rPr>
          <w:rFonts w:asciiTheme="minorHAnsi" w:eastAsiaTheme="minorEastAsia" w:hAnsiTheme="minorHAnsi"/>
          <w:kern w:val="2"/>
          <w:szCs w:val="24"/>
          <w:lang w:eastAsia="en-GB"/>
          <w14:ligatures w14:val="standardContextual"/>
        </w:rPr>
      </w:pPr>
      <w:hyperlink w:anchor="_Toc193362805" w:history="1">
        <w:r w:rsidRPr="00AA7E37">
          <w:rPr>
            <w:rStyle w:val="Hyperlink"/>
          </w:rPr>
          <w:t>3. Adverse reactions</w:t>
        </w:r>
        <w:r>
          <w:rPr>
            <w:webHidden/>
          </w:rPr>
          <w:tab/>
        </w:r>
        <w:r>
          <w:rPr>
            <w:webHidden/>
          </w:rPr>
          <w:fldChar w:fldCharType="begin"/>
        </w:r>
        <w:r>
          <w:rPr>
            <w:webHidden/>
          </w:rPr>
          <w:instrText xml:space="preserve"> PAGEREF _Toc193362805 \h </w:instrText>
        </w:r>
        <w:r>
          <w:rPr>
            <w:webHidden/>
          </w:rPr>
        </w:r>
        <w:r>
          <w:rPr>
            <w:webHidden/>
          </w:rPr>
          <w:fldChar w:fldCharType="separate"/>
        </w:r>
        <w:r>
          <w:rPr>
            <w:webHidden/>
          </w:rPr>
          <w:t>18</w:t>
        </w:r>
        <w:r>
          <w:rPr>
            <w:webHidden/>
          </w:rPr>
          <w:fldChar w:fldCharType="end"/>
        </w:r>
      </w:hyperlink>
    </w:p>
    <w:p w14:paraId="0872F8B8" w14:textId="73274B91" w:rsidR="005C1C38" w:rsidRDefault="005C1C38">
      <w:pPr>
        <w:pStyle w:val="TOC1"/>
        <w:rPr>
          <w:rFonts w:asciiTheme="minorHAnsi" w:eastAsiaTheme="minorEastAsia" w:hAnsiTheme="minorHAnsi"/>
          <w:kern w:val="2"/>
          <w:szCs w:val="24"/>
          <w:lang w:eastAsia="en-GB"/>
          <w14:ligatures w14:val="standardContextual"/>
        </w:rPr>
      </w:pPr>
      <w:hyperlink w:anchor="_Toc193362806" w:history="1">
        <w:r w:rsidRPr="00AA7E37">
          <w:rPr>
            <w:rStyle w:val="Hyperlink"/>
          </w:rPr>
          <w:t>4. Characteristics of staff authorised under the PGD</w:t>
        </w:r>
        <w:r>
          <w:rPr>
            <w:webHidden/>
          </w:rPr>
          <w:tab/>
        </w:r>
        <w:r>
          <w:rPr>
            <w:webHidden/>
          </w:rPr>
          <w:fldChar w:fldCharType="begin"/>
        </w:r>
        <w:r>
          <w:rPr>
            <w:webHidden/>
          </w:rPr>
          <w:instrText xml:space="preserve"> PAGEREF _Toc193362806 \h </w:instrText>
        </w:r>
        <w:r>
          <w:rPr>
            <w:webHidden/>
          </w:rPr>
        </w:r>
        <w:r>
          <w:rPr>
            <w:webHidden/>
          </w:rPr>
          <w:fldChar w:fldCharType="separate"/>
        </w:r>
        <w:r>
          <w:rPr>
            <w:webHidden/>
          </w:rPr>
          <w:t>23</w:t>
        </w:r>
        <w:r>
          <w:rPr>
            <w:webHidden/>
          </w:rPr>
          <w:fldChar w:fldCharType="end"/>
        </w:r>
      </w:hyperlink>
    </w:p>
    <w:p w14:paraId="3DBC70C1" w14:textId="25744E0F" w:rsidR="005C1C38" w:rsidRDefault="005C1C38">
      <w:pPr>
        <w:pStyle w:val="TOC1"/>
        <w:rPr>
          <w:rFonts w:asciiTheme="minorHAnsi" w:eastAsiaTheme="minorEastAsia" w:hAnsiTheme="minorHAnsi"/>
          <w:kern w:val="2"/>
          <w:szCs w:val="24"/>
          <w:lang w:eastAsia="en-GB"/>
          <w14:ligatures w14:val="standardContextual"/>
        </w:rPr>
      </w:pPr>
      <w:hyperlink w:anchor="_Toc193362807" w:history="1">
        <w:r w:rsidRPr="00AA7E37">
          <w:rPr>
            <w:rStyle w:val="Hyperlink"/>
          </w:rPr>
          <w:t>5. Audit trail</w:t>
        </w:r>
        <w:r>
          <w:rPr>
            <w:webHidden/>
          </w:rPr>
          <w:tab/>
        </w:r>
        <w:r>
          <w:rPr>
            <w:webHidden/>
          </w:rPr>
          <w:fldChar w:fldCharType="begin"/>
        </w:r>
        <w:r>
          <w:rPr>
            <w:webHidden/>
          </w:rPr>
          <w:instrText xml:space="preserve"> PAGEREF _Toc193362807 \h </w:instrText>
        </w:r>
        <w:r>
          <w:rPr>
            <w:webHidden/>
          </w:rPr>
        </w:r>
        <w:r>
          <w:rPr>
            <w:webHidden/>
          </w:rPr>
          <w:fldChar w:fldCharType="separate"/>
        </w:r>
        <w:r>
          <w:rPr>
            <w:webHidden/>
          </w:rPr>
          <w:t>26</w:t>
        </w:r>
        <w:r>
          <w:rPr>
            <w:webHidden/>
          </w:rPr>
          <w:fldChar w:fldCharType="end"/>
        </w:r>
      </w:hyperlink>
    </w:p>
    <w:p w14:paraId="013E61A7" w14:textId="678E585C" w:rsidR="005C1C38" w:rsidRDefault="005C1C38">
      <w:pPr>
        <w:pStyle w:val="TOC1"/>
        <w:rPr>
          <w:rFonts w:asciiTheme="minorHAnsi" w:eastAsiaTheme="minorEastAsia" w:hAnsiTheme="minorHAnsi"/>
          <w:kern w:val="2"/>
          <w:szCs w:val="24"/>
          <w:lang w:eastAsia="en-GB"/>
          <w14:ligatures w14:val="standardContextual"/>
        </w:rPr>
      </w:pPr>
      <w:hyperlink w:anchor="_Toc193362808" w:history="1">
        <w:r w:rsidRPr="00AA7E37">
          <w:rPr>
            <w:rStyle w:val="Hyperlink"/>
          </w:rPr>
          <w:t>6. Additional references</w:t>
        </w:r>
        <w:r>
          <w:rPr>
            <w:webHidden/>
          </w:rPr>
          <w:tab/>
        </w:r>
        <w:r>
          <w:rPr>
            <w:webHidden/>
          </w:rPr>
          <w:fldChar w:fldCharType="begin"/>
        </w:r>
        <w:r>
          <w:rPr>
            <w:webHidden/>
          </w:rPr>
          <w:instrText xml:space="preserve"> PAGEREF _Toc193362808 \h </w:instrText>
        </w:r>
        <w:r>
          <w:rPr>
            <w:webHidden/>
          </w:rPr>
        </w:r>
        <w:r>
          <w:rPr>
            <w:webHidden/>
          </w:rPr>
          <w:fldChar w:fldCharType="separate"/>
        </w:r>
        <w:r>
          <w:rPr>
            <w:webHidden/>
          </w:rPr>
          <w:t>27</w:t>
        </w:r>
        <w:r>
          <w:rPr>
            <w:webHidden/>
          </w:rPr>
          <w:fldChar w:fldCharType="end"/>
        </w:r>
      </w:hyperlink>
    </w:p>
    <w:p w14:paraId="5134E65C" w14:textId="1C88C75A" w:rsidR="005C1C38" w:rsidRDefault="005C1C38">
      <w:pPr>
        <w:pStyle w:val="TOC1"/>
        <w:rPr>
          <w:rFonts w:asciiTheme="minorHAnsi" w:eastAsiaTheme="minorEastAsia" w:hAnsiTheme="minorHAnsi"/>
          <w:kern w:val="2"/>
          <w:szCs w:val="24"/>
          <w:lang w:eastAsia="en-GB"/>
          <w14:ligatures w14:val="standardContextual"/>
        </w:rPr>
      </w:pPr>
      <w:hyperlink w:anchor="_Toc193362809" w:history="1">
        <w:r w:rsidRPr="00AA7E37">
          <w:rPr>
            <w:rStyle w:val="Hyperlink"/>
          </w:rPr>
          <w:t>7. PGD for administration of COVID-19 mRNA vaccines to individuals aged 18 years and over Version 5.0 (valid from 19 March 2025 and expires 30 September 2025): authorisation</w:t>
        </w:r>
        <w:r>
          <w:rPr>
            <w:webHidden/>
          </w:rPr>
          <w:tab/>
        </w:r>
        <w:r>
          <w:rPr>
            <w:webHidden/>
          </w:rPr>
          <w:fldChar w:fldCharType="begin"/>
        </w:r>
        <w:r>
          <w:rPr>
            <w:webHidden/>
          </w:rPr>
          <w:instrText xml:space="preserve"> PAGEREF _Toc193362809 \h </w:instrText>
        </w:r>
        <w:r>
          <w:rPr>
            <w:webHidden/>
          </w:rPr>
        </w:r>
        <w:r>
          <w:rPr>
            <w:webHidden/>
          </w:rPr>
          <w:fldChar w:fldCharType="separate"/>
        </w:r>
        <w:r>
          <w:rPr>
            <w:webHidden/>
          </w:rPr>
          <w:t>28</w:t>
        </w:r>
        <w:r>
          <w:rPr>
            <w:webHidden/>
          </w:rPr>
          <w:fldChar w:fldCharType="end"/>
        </w:r>
      </w:hyperlink>
    </w:p>
    <w:p w14:paraId="75763515" w14:textId="13535CAD" w:rsidR="005C1C38" w:rsidRDefault="005C1C38">
      <w:pPr>
        <w:pStyle w:val="TOC1"/>
        <w:rPr>
          <w:rFonts w:asciiTheme="minorHAnsi" w:eastAsiaTheme="minorEastAsia" w:hAnsiTheme="minorHAnsi"/>
          <w:kern w:val="2"/>
          <w:szCs w:val="24"/>
          <w:lang w:eastAsia="en-GB"/>
          <w14:ligatures w14:val="standardContextual"/>
        </w:rPr>
      </w:pPr>
      <w:hyperlink w:anchor="_Toc193362810" w:history="1">
        <w:r w:rsidRPr="00AA7E37">
          <w:rPr>
            <w:rStyle w:val="Hyperlink"/>
          </w:rPr>
          <w:t>8. Version history</w:t>
        </w:r>
        <w:r>
          <w:rPr>
            <w:webHidden/>
          </w:rPr>
          <w:tab/>
        </w:r>
        <w:r>
          <w:rPr>
            <w:webHidden/>
          </w:rPr>
          <w:fldChar w:fldCharType="begin"/>
        </w:r>
        <w:r>
          <w:rPr>
            <w:webHidden/>
          </w:rPr>
          <w:instrText xml:space="preserve"> PAGEREF _Toc193362810 \h </w:instrText>
        </w:r>
        <w:r>
          <w:rPr>
            <w:webHidden/>
          </w:rPr>
        </w:r>
        <w:r>
          <w:rPr>
            <w:webHidden/>
          </w:rPr>
          <w:fldChar w:fldCharType="separate"/>
        </w:r>
        <w:r>
          <w:rPr>
            <w:webHidden/>
          </w:rPr>
          <w:t>30</w:t>
        </w:r>
        <w:r>
          <w:rPr>
            <w:webHidden/>
          </w:rPr>
          <w:fldChar w:fldCharType="end"/>
        </w:r>
      </w:hyperlink>
    </w:p>
    <w:p w14:paraId="2F2B0EB1" w14:textId="52DF4DE1" w:rsidR="0066594B" w:rsidRDefault="0079389D" w:rsidP="00151D33">
      <w:pPr>
        <w:sectPr w:rsidR="0066594B" w:rsidSect="006A2E18">
          <w:footerReference w:type="default" r:id="rId25"/>
          <w:footnotePr>
            <w:numFmt w:val="lowerRoman"/>
          </w:footnotePr>
          <w:endnotePr>
            <w:numFmt w:val="decimal"/>
          </w:endnotePr>
          <w:pgSz w:w="11906" w:h="16838"/>
          <w:pgMar w:top="1418" w:right="1418" w:bottom="1531" w:left="1418" w:header="680" w:footer="624" w:gutter="0"/>
          <w:cols w:space="708"/>
          <w:docGrid w:linePitch="360"/>
        </w:sectPr>
      </w:pPr>
      <w:r>
        <w:rPr>
          <w:noProof/>
        </w:rPr>
        <w:fldChar w:fldCharType="end"/>
      </w:r>
    </w:p>
    <w:p w14:paraId="21DF6848" w14:textId="77777777" w:rsidR="007639B5" w:rsidRPr="007639B5" w:rsidRDefault="007639B5" w:rsidP="007E43A7">
      <w:pPr>
        <w:pStyle w:val="NormalH1"/>
        <w:spacing w:before="480"/>
      </w:pPr>
      <w:bookmarkStart w:id="20" w:name="_Toc60298143"/>
      <w:bookmarkStart w:id="21" w:name="_Toc124848775"/>
      <w:bookmarkStart w:id="22" w:name="_Toc57039405"/>
      <w:bookmarkStart w:id="23" w:name="_Toc57039487"/>
      <w:bookmarkStart w:id="24" w:name="_Toc57103215"/>
      <w:bookmarkStart w:id="25" w:name="_Toc57105451"/>
      <w:bookmarkStart w:id="26" w:name="_Hlk125988460"/>
      <w:bookmarkStart w:id="27" w:name="_Toc193362802"/>
      <w:r w:rsidRPr="00907E64">
        <w:lastRenderedPageBreak/>
        <w:t>Authorisation</w:t>
      </w:r>
      <w:bookmarkEnd w:id="20"/>
      <w:bookmarkEnd w:id="21"/>
      <w:bookmarkEnd w:id="27"/>
    </w:p>
    <w:p w14:paraId="12B04CAE" w14:textId="5BB48E5F" w:rsidR="00B12F67" w:rsidRPr="007E43A7" w:rsidRDefault="007639B5" w:rsidP="007E43A7">
      <w:pPr>
        <w:pStyle w:val="NormalH2"/>
        <w:spacing w:before="360"/>
        <w:rPr>
          <w:rStyle w:val="Bold"/>
          <w:rFonts w:cstheme="minorBidi"/>
          <w:b/>
          <w:color w:val="43358B"/>
        </w:rPr>
      </w:pPr>
      <w:r w:rsidRPr="007E43A7">
        <w:rPr>
          <w:rStyle w:val="Bold"/>
          <w:rFonts w:cstheme="minorBidi"/>
          <w:b/>
          <w:color w:val="43358B"/>
        </w:rPr>
        <w:t xml:space="preserve">PGD </w:t>
      </w:r>
      <w:bookmarkEnd w:id="22"/>
      <w:bookmarkEnd w:id="23"/>
      <w:bookmarkEnd w:id="24"/>
      <w:bookmarkEnd w:id="25"/>
      <w:r w:rsidR="00616B30" w:rsidRPr="007E43A7">
        <w:rPr>
          <w:rStyle w:val="Bold"/>
          <w:rFonts w:cstheme="minorBidi"/>
          <w:b/>
          <w:color w:val="43358B"/>
        </w:rPr>
        <w:t xml:space="preserve">for administration of COVID-19 </w:t>
      </w:r>
      <w:r w:rsidR="008A526F" w:rsidRPr="007E43A7">
        <w:rPr>
          <w:rStyle w:val="Bold"/>
          <w:rFonts w:cstheme="minorBidi"/>
          <w:b/>
          <w:color w:val="43358B"/>
        </w:rPr>
        <w:t xml:space="preserve">mRNA </w:t>
      </w:r>
      <w:r w:rsidR="00616B30" w:rsidRPr="007E43A7">
        <w:rPr>
          <w:rStyle w:val="Bold"/>
          <w:rFonts w:cstheme="minorBidi"/>
          <w:b/>
          <w:color w:val="43358B"/>
        </w:rPr>
        <w:t>vaccines to individuals aged 18 years</w:t>
      </w:r>
      <w:r w:rsidR="00EE36B0" w:rsidRPr="007E43A7">
        <w:rPr>
          <w:rStyle w:val="Bold"/>
          <w:rFonts w:cstheme="minorBidi"/>
          <w:b/>
          <w:color w:val="43358B"/>
        </w:rPr>
        <w:t xml:space="preserve"> and over</w:t>
      </w:r>
    </w:p>
    <w:p w14:paraId="107A5D5F" w14:textId="31AE54CE" w:rsidR="00713DB4" w:rsidRPr="00F22B32" w:rsidRDefault="00713DB4" w:rsidP="00713DB4">
      <w:r w:rsidRPr="00F22B32">
        <w:t xml:space="preserve">This specimen Patient Group Direction (PGD) template has been produced by Public Health Scotland to assist NHS </w:t>
      </w:r>
      <w:r w:rsidR="003A3BBB">
        <w:t>B</w:t>
      </w:r>
      <w:r w:rsidRPr="00F22B32">
        <w:t xml:space="preserve">oards. NHS </w:t>
      </w:r>
      <w:r w:rsidR="003A3BBB">
        <w:t>B</w:t>
      </w:r>
      <w:r w:rsidRPr="00F22B32">
        <w:t xml:space="preserve">oards should ensure that the final </w:t>
      </w:r>
      <w:r w:rsidR="00B43541">
        <w:br/>
      </w:r>
      <w:r w:rsidRPr="00F22B32">
        <w:t>PGD is considered and approved in line with local clinical governance arrangements for PGDs.</w:t>
      </w:r>
    </w:p>
    <w:bookmarkEnd w:id="26"/>
    <w:p w14:paraId="415CB4CB" w14:textId="3FCC285A" w:rsidR="001C0BC7" w:rsidRPr="00713DB4" w:rsidRDefault="00713DB4" w:rsidP="00F524B3">
      <w:pPr>
        <w:rPr>
          <w:rStyle w:val="Bold"/>
          <w:rFonts w:cstheme="minorBidi"/>
          <w:b w:val="0"/>
        </w:rPr>
      </w:pPr>
      <w:r w:rsidRPr="00F22B32">
        <w:t xml:space="preserve">The </w:t>
      </w:r>
      <w:r w:rsidR="00CE1632">
        <w:t xml:space="preserve">registered </w:t>
      </w:r>
      <w:r w:rsidRPr="00F22B32">
        <w:t xml:space="preserve">health professionals who may administer </w:t>
      </w:r>
      <w:r w:rsidR="00943356" w:rsidRPr="00943356">
        <w:t>COVID-19</w:t>
      </w:r>
      <w:r w:rsidR="008A526F">
        <w:t xml:space="preserve"> mRNA</w:t>
      </w:r>
      <w:r w:rsidR="00943356" w:rsidRPr="00943356">
        <w:t xml:space="preserve"> vaccines to individuals aged 18 years</w:t>
      </w:r>
      <w:r w:rsidR="00EE36B0">
        <w:t xml:space="preserve"> </w:t>
      </w:r>
      <w:r w:rsidR="000B1ECC">
        <w:t>and over</w:t>
      </w:r>
      <w:r w:rsidR="00750EBD">
        <w:t xml:space="preserve"> </w:t>
      </w:r>
      <w:r w:rsidRPr="00F22B32">
        <w:t xml:space="preserve">can only </w:t>
      </w:r>
      <w:r w:rsidR="00DD4AD7">
        <w:t xml:space="preserve">use this PGD </w:t>
      </w:r>
      <w:r w:rsidRPr="00F22B32">
        <w:t>as named individuals.</w:t>
      </w:r>
      <w:r w:rsidRPr="00F22B32">
        <w:rPr>
          <w:bCs/>
        </w:rPr>
        <w:t xml:space="preserve"> It is the responsibility of each professional to practice within the bounds of their own competence and in accordance with their own Code of Professional Conduct and to ensure </w:t>
      </w:r>
      <w:r w:rsidRPr="00F22B32">
        <w:t xml:space="preserve">familiarity with the </w:t>
      </w:r>
      <w:r w:rsidRPr="005069D0">
        <w:t>manufacturer’s product information/</w:t>
      </w:r>
      <w:r w:rsidR="00777478">
        <w:t>S</w:t>
      </w:r>
      <w:r w:rsidRPr="005069D0">
        <w:t xml:space="preserve">ummary of </w:t>
      </w:r>
      <w:r w:rsidR="00777478">
        <w:t>P</w:t>
      </w:r>
      <w:r w:rsidRPr="005069D0">
        <w:t xml:space="preserve">roduct </w:t>
      </w:r>
      <w:r w:rsidR="00777478">
        <w:t>C</w:t>
      </w:r>
      <w:r w:rsidRPr="005069D0">
        <w:t>haracteristics (S</w:t>
      </w:r>
      <w:r w:rsidR="003A3BBB">
        <w:t>m</w:t>
      </w:r>
      <w:r w:rsidRPr="005069D0">
        <w:t xml:space="preserve">PC) </w:t>
      </w:r>
      <w:r w:rsidRPr="00F22B32">
        <w:t>for all vaccines administered in accordance with this PGD.</w:t>
      </w:r>
      <w:r w:rsidR="004A51CF">
        <w:t xml:space="preserve"> </w:t>
      </w:r>
      <w:r w:rsidRPr="00F22B32">
        <w:t xml:space="preserve">NHS </w:t>
      </w:r>
      <w:r w:rsidR="003A3BBB">
        <w:t>B</w:t>
      </w:r>
      <w:r w:rsidRPr="00F22B32">
        <w:t xml:space="preserve">oard governance arrangements </w:t>
      </w:r>
      <w:r w:rsidR="0078441D">
        <w:t>should</w:t>
      </w:r>
      <w:r w:rsidR="0078441D" w:rsidRPr="00F22B32">
        <w:t xml:space="preserve"> </w:t>
      </w:r>
      <w:r w:rsidRPr="00F22B32">
        <w:t xml:space="preserve">indicate how records of staff authorised to operate this PGD will be maintained. Under PGD legislation there can be no delegation. Administration of the vaccine </w:t>
      </w:r>
      <w:r w:rsidR="00CE1632">
        <w:t>must</w:t>
      </w:r>
      <w:r w:rsidRPr="00F22B32">
        <w:t xml:space="preserve"> be by the same practitioner who has assessed the patient under the PGD.</w:t>
      </w:r>
    </w:p>
    <w:p w14:paraId="1C909AD4" w14:textId="037B3444" w:rsidR="008C552F" w:rsidRPr="007639B5" w:rsidRDefault="008C552F" w:rsidP="008C552F">
      <w:r w:rsidRPr="007639B5">
        <w:t>This PGD has been produced for NHS …………………………………</w:t>
      </w:r>
      <w:r>
        <w:t>.</w:t>
      </w:r>
      <w:r w:rsidR="004A51CF">
        <w:t xml:space="preserve"> </w:t>
      </w:r>
      <w:r w:rsidRPr="007639B5">
        <w:t>by:</w:t>
      </w:r>
    </w:p>
    <w:p w14:paraId="72906AA3" w14:textId="77777777" w:rsidR="008C552F" w:rsidRPr="007639B5" w:rsidRDefault="008C552F" w:rsidP="008C552F">
      <w:r w:rsidRPr="007639B5">
        <w:t>Doctor</w:t>
      </w:r>
      <w:r>
        <w:t xml:space="preserve"> (Name / Signature)</w:t>
      </w:r>
      <w:r w:rsidRPr="007639B5">
        <w:t>.………………………………………………....</w:t>
      </w:r>
      <w:r>
        <w:t>...............</w:t>
      </w:r>
      <w:r w:rsidRPr="007639B5">
        <w:tab/>
      </w:r>
      <w:r>
        <w:br/>
      </w:r>
      <w:r w:rsidRPr="007639B5">
        <w:t>Pharmacist</w:t>
      </w:r>
      <w:r>
        <w:t xml:space="preserve"> (Name /Signature) </w:t>
      </w:r>
      <w:r w:rsidRPr="007639B5">
        <w:t>……………………………………………</w:t>
      </w:r>
      <w:r>
        <w:t>…………...</w:t>
      </w:r>
      <w:r w:rsidRPr="007639B5">
        <w:tab/>
      </w:r>
      <w:r>
        <w:br/>
      </w:r>
      <w:r w:rsidRPr="007639B5">
        <w:t xml:space="preserve">Nurse </w:t>
      </w:r>
      <w:r>
        <w:t xml:space="preserve">(Name / Signature) </w:t>
      </w:r>
      <w:r w:rsidRPr="007639B5">
        <w:t>……………………………………………………</w:t>
      </w:r>
      <w:r>
        <w:t>…………</w:t>
      </w:r>
      <w:r w:rsidRPr="007639B5">
        <w:tab/>
      </w:r>
    </w:p>
    <w:p w14:paraId="2957F530" w14:textId="77777777" w:rsidR="008C552F" w:rsidRPr="007639B5" w:rsidRDefault="008C552F" w:rsidP="008C552F">
      <w:r w:rsidRPr="007639B5">
        <w:t>Approved on behalf of NHS………………………………………………</w:t>
      </w:r>
      <w:r>
        <w:t xml:space="preserve"> </w:t>
      </w:r>
      <w:r w:rsidRPr="007639B5">
        <w:t>by:</w:t>
      </w:r>
    </w:p>
    <w:p w14:paraId="2E660396" w14:textId="77777777" w:rsidR="008C552F" w:rsidRDefault="008C552F" w:rsidP="008C552F">
      <w:r w:rsidRPr="007639B5">
        <w:t xml:space="preserve">Medical Director </w:t>
      </w:r>
      <w:r>
        <w:t xml:space="preserve">(Name / Signature) </w:t>
      </w:r>
      <w:r w:rsidRPr="007639B5">
        <w:t>………………………………………</w:t>
      </w:r>
      <w:r>
        <w:t>………</w:t>
      </w:r>
      <w:proofErr w:type="gramStart"/>
      <w:r>
        <w:t>…..</w:t>
      </w:r>
      <w:proofErr w:type="gramEnd"/>
      <w:r>
        <w:tab/>
      </w:r>
      <w:r>
        <w:br/>
      </w:r>
      <w:r w:rsidRPr="007639B5">
        <w:t xml:space="preserve">Director of Pharmacy/Senior Pharmacist </w:t>
      </w:r>
      <w:r>
        <w:t xml:space="preserve">(Name / Signature) </w:t>
      </w:r>
      <w:r w:rsidRPr="007639B5">
        <w:t>……………………</w:t>
      </w:r>
      <w:r>
        <w:t>….</w:t>
      </w:r>
      <w:r>
        <w:br/>
      </w:r>
      <w:r w:rsidRPr="007639B5">
        <w:t>Clinical Governance Lead</w:t>
      </w:r>
      <w:r>
        <w:t xml:space="preserve"> (Name / Signature)</w:t>
      </w:r>
      <w:r w:rsidRPr="007639B5">
        <w:t xml:space="preserve"> …………………………</w:t>
      </w:r>
      <w:r>
        <w:t>……………</w:t>
      </w:r>
      <w:r>
        <w:br/>
      </w:r>
      <w:r w:rsidRPr="007639B5">
        <w:t xml:space="preserve">Date approved: </w:t>
      </w:r>
      <w:r>
        <w:t>………………………………</w:t>
      </w:r>
    </w:p>
    <w:p w14:paraId="4BD76489" w14:textId="5F45D91E" w:rsidR="00F609D7" w:rsidRPr="007639B5" w:rsidRDefault="0039149E" w:rsidP="00F609D7">
      <w:bookmarkStart w:id="28" w:name="_Toc60298144"/>
      <w:bookmarkStart w:id="29" w:name="_Toc124848776"/>
      <w:r>
        <w:t>Val</w:t>
      </w:r>
      <w:r w:rsidR="00884595">
        <w:t>i</w:t>
      </w:r>
      <w:r>
        <w:t>d</w:t>
      </w:r>
      <w:r w:rsidR="00F609D7" w:rsidRPr="007639B5">
        <w:t xml:space="preserve"> from: </w:t>
      </w:r>
      <w:r w:rsidR="00A52DBF">
        <w:t>1</w:t>
      </w:r>
      <w:r w:rsidR="008A0E25">
        <w:t>9</w:t>
      </w:r>
      <w:r w:rsidR="002536DA">
        <w:t xml:space="preserve"> March</w:t>
      </w:r>
      <w:r w:rsidR="001456DB">
        <w:t xml:space="preserve"> </w:t>
      </w:r>
      <w:r w:rsidR="00800A0E">
        <w:t>202</w:t>
      </w:r>
      <w:r w:rsidR="005B75C3">
        <w:t>5</w:t>
      </w:r>
      <w:r w:rsidR="00F609D7" w:rsidRPr="007639B5">
        <w:tab/>
      </w:r>
      <w:r w:rsidR="00F609D7" w:rsidRPr="007639B5">
        <w:tab/>
      </w:r>
      <w:r w:rsidR="00F609D7">
        <w:t xml:space="preserve">              </w:t>
      </w:r>
      <w:r w:rsidR="00943356">
        <w:t>Expiry</w:t>
      </w:r>
      <w:r w:rsidR="00F609D7" w:rsidRPr="007639B5">
        <w:t xml:space="preserve"> date</w:t>
      </w:r>
      <w:r w:rsidR="00F609D7" w:rsidRPr="00446995">
        <w:t>: 3</w:t>
      </w:r>
      <w:r w:rsidR="005B75C3">
        <w:t>0</w:t>
      </w:r>
      <w:r w:rsidR="00F609D7" w:rsidRPr="00446995">
        <w:t xml:space="preserve"> </w:t>
      </w:r>
      <w:r w:rsidR="005B75C3">
        <w:t>September</w:t>
      </w:r>
      <w:r w:rsidR="00F609D7" w:rsidRPr="00446995">
        <w:t xml:space="preserve"> 202</w:t>
      </w:r>
      <w:r>
        <w:t>5</w:t>
      </w:r>
    </w:p>
    <w:p w14:paraId="2F15A04E" w14:textId="77777777" w:rsidR="007639B5" w:rsidRDefault="007F2AC1" w:rsidP="00817A4C">
      <w:pPr>
        <w:pStyle w:val="NormalH1"/>
      </w:pPr>
      <w:bookmarkStart w:id="30" w:name="_Toc193362803"/>
      <w:r w:rsidRPr="007F2AC1">
        <w:rPr>
          <w:bCs/>
        </w:rPr>
        <w:lastRenderedPageBreak/>
        <w:t>1.</w:t>
      </w:r>
      <w:r>
        <w:t xml:space="preserve"> </w:t>
      </w:r>
      <w:r w:rsidR="007639B5" w:rsidRPr="007639B5">
        <w:t>Clinical situation</w:t>
      </w:r>
      <w:bookmarkEnd w:id="28"/>
      <w:bookmarkEnd w:id="29"/>
      <w:bookmarkEnd w:id="30"/>
    </w:p>
    <w:p w14:paraId="6BB39977" w14:textId="7EE68D11" w:rsidR="007639B5" w:rsidRDefault="007F2AC1" w:rsidP="007F2AC1">
      <w:pPr>
        <w:pStyle w:val="NormalH2"/>
      </w:pPr>
      <w:r>
        <w:t xml:space="preserve">1.1. </w:t>
      </w:r>
      <w:r w:rsidR="007639B5" w:rsidRPr="001E376F">
        <w:t>Indication</w:t>
      </w:r>
    </w:p>
    <w:p w14:paraId="6DBECE11" w14:textId="3387FC4B" w:rsidR="00F609D7" w:rsidRDefault="00943356" w:rsidP="00F609D7">
      <w:r w:rsidRPr="00666B74">
        <w:t xml:space="preserve">COVID-19 </w:t>
      </w:r>
      <w:r w:rsidR="00605024">
        <w:t xml:space="preserve">mRNA </w:t>
      </w:r>
      <w:r w:rsidRPr="00666B74">
        <w:t xml:space="preserve">vaccines </w:t>
      </w:r>
      <w:r w:rsidR="00E1514A" w:rsidRPr="00666B74">
        <w:t xml:space="preserve">are </w:t>
      </w:r>
      <w:r w:rsidR="00F609D7" w:rsidRPr="00666B74">
        <w:t>indicated for active immunisation against COVID-19 disease caused by SARS-CoV-2 virus</w:t>
      </w:r>
      <w:r w:rsidR="00BF045D" w:rsidRPr="00666B74">
        <w:t xml:space="preserve"> in those aged 18 years and over</w:t>
      </w:r>
      <w:r w:rsidR="00F609D7" w:rsidRPr="000B4EE6">
        <w:t xml:space="preserve"> in accordance with </w:t>
      </w:r>
      <w:r w:rsidR="00F609D7" w:rsidRPr="005C2149">
        <w:t>Scottish</w:t>
      </w:r>
      <w:r w:rsidR="00F609D7" w:rsidRPr="000B4EE6">
        <w:t xml:space="preserve"> Government COVID-19 immunisation programme and</w:t>
      </w:r>
      <w:r w:rsidR="00F609D7">
        <w:t xml:space="preserve"> JCVI advice/recommendations as set out in Green Book </w:t>
      </w:r>
      <w:hyperlink r:id="rId26" w:history="1">
        <w:r w:rsidR="00F609D7" w:rsidRPr="00E17B26">
          <w:rPr>
            <w:rStyle w:val="Hyperlink"/>
          </w:rPr>
          <w:t>Chapter 14a</w:t>
        </w:r>
      </w:hyperlink>
      <w:r w:rsidR="00F609D7" w:rsidRPr="000B4EE6">
        <w:t xml:space="preserve"> </w:t>
      </w:r>
      <w:r w:rsidR="00F609D7" w:rsidRPr="007A276C">
        <w:t>and subsequent correspondence/publications from Scottish Government.</w:t>
      </w:r>
    </w:p>
    <w:p w14:paraId="64134EDB" w14:textId="5501B2EA" w:rsidR="007F2C05" w:rsidRDefault="007F2AC1" w:rsidP="007F2AC1">
      <w:pPr>
        <w:pStyle w:val="NormalH2"/>
      </w:pPr>
      <w:r>
        <w:t xml:space="preserve">1.2. </w:t>
      </w:r>
      <w:r w:rsidR="007639B5" w:rsidRPr="007639B5">
        <w:t>Inclusion criteria</w:t>
      </w:r>
    </w:p>
    <w:p w14:paraId="65DDAA7C" w14:textId="12BBE920" w:rsidR="0046229D" w:rsidRDefault="0046229D" w:rsidP="0046229D">
      <w:r w:rsidRPr="0046229D">
        <w:t>COVID-19 mRNA vaccines should be offered to those aged 18 years and over</w:t>
      </w:r>
      <w:r w:rsidR="004A51CF">
        <w:t xml:space="preserve"> </w:t>
      </w:r>
      <w:r w:rsidRPr="0046229D">
        <w:t xml:space="preserve">invited, or eligible in accordance with the recommendations in </w:t>
      </w:r>
      <w:r>
        <w:t xml:space="preserve">Green Book </w:t>
      </w:r>
      <w:r w:rsidR="004A51CF">
        <w:br/>
      </w:r>
      <w:hyperlink r:id="rId27" w:history="1">
        <w:r w:rsidRPr="00E17B26">
          <w:rPr>
            <w:rStyle w:val="Hyperlink"/>
          </w:rPr>
          <w:t>Chapter 14a</w:t>
        </w:r>
      </w:hyperlink>
      <w:r w:rsidRPr="0046229D">
        <w:t>, and/or in line with subsequent correspondence/publications from Scottish Government.</w:t>
      </w:r>
    </w:p>
    <w:p w14:paraId="5FE8DD79" w14:textId="77777777" w:rsidR="0046229D" w:rsidRPr="0046229D" w:rsidRDefault="0046229D" w:rsidP="0046229D">
      <w:r w:rsidRPr="0046229D">
        <w:t>National policy must be followed in relation to the groups eligible for vaccination at a particular point in time including vaccination for travel entry certification and ad-hoc occupational purposes internationally.</w:t>
      </w:r>
    </w:p>
    <w:p w14:paraId="5F511696" w14:textId="3BAF7A69" w:rsidR="0046229D" w:rsidRDefault="0052577C" w:rsidP="0052577C">
      <w:r w:rsidRPr="0052577C">
        <w:rPr>
          <w:rFonts w:cs="Arial"/>
          <w:color w:val="000000"/>
          <w:shd w:val="clear" w:color="auto" w:fill="FFFFFF"/>
        </w:rPr>
        <w:t>Individuals who have received a haematopoietic stem cell transplant or CAR-T therapy and who require revaccination, in accordance with the</w:t>
      </w:r>
      <w:r w:rsidRPr="004A51CF">
        <w:rPr>
          <w:rStyle w:val="Hyperlink"/>
        </w:rPr>
        <w:t xml:space="preserve"> </w:t>
      </w:r>
      <w:hyperlink r:id="rId28" w:tgtFrame="_blank" w:history="1">
        <w:r w:rsidRPr="004A51CF">
          <w:rPr>
            <w:rStyle w:val="Hyperlink"/>
          </w:rPr>
          <w:t>Scottish Haematology Society Revaccination Schedule.</w:t>
        </w:r>
      </w:hyperlink>
      <w:r w:rsidRPr="004A51CF">
        <w:rPr>
          <w:rStyle w:val="Hyperlink"/>
        </w:rPr>
        <w:t> </w:t>
      </w:r>
    </w:p>
    <w:p w14:paraId="3D39A81B" w14:textId="3243327C" w:rsidR="00F609D7" w:rsidRDefault="00F609D7" w:rsidP="001008B0">
      <w:pPr>
        <w:pStyle w:val="Bullet1"/>
        <w:numPr>
          <w:ilvl w:val="0"/>
          <w:numId w:val="0"/>
        </w:numPr>
      </w:pPr>
      <w:r w:rsidRPr="00CE6AE0">
        <w:t>Valid consent has been given</w:t>
      </w:r>
      <w:r w:rsidRPr="00CF5222">
        <w:t xml:space="preserve"> to receive the vaccine.</w:t>
      </w:r>
    </w:p>
    <w:p w14:paraId="53C525A9" w14:textId="502B8DB2" w:rsidR="007639B5" w:rsidRDefault="007F2AC1" w:rsidP="007F2AC1">
      <w:pPr>
        <w:pStyle w:val="NormalH2"/>
      </w:pPr>
      <w:r>
        <w:t xml:space="preserve">1.3. </w:t>
      </w:r>
      <w:r w:rsidR="007639B5" w:rsidRPr="007639B5">
        <w:t>Exclusion criteria</w:t>
      </w:r>
    </w:p>
    <w:p w14:paraId="35646878" w14:textId="77777777" w:rsidR="00B40C7F" w:rsidRPr="006B68BB" w:rsidRDefault="00B40C7F" w:rsidP="00B40C7F">
      <w:r w:rsidRPr="006B68BB">
        <w:t>Individuals who:</w:t>
      </w:r>
    </w:p>
    <w:p w14:paraId="68089DBB" w14:textId="2551A853" w:rsidR="00B40C7F" w:rsidRPr="006B68BB" w:rsidRDefault="00B40C7F" w:rsidP="007D6887">
      <w:pPr>
        <w:pStyle w:val="Bullet1"/>
      </w:pPr>
      <w:r w:rsidRPr="006B68BB">
        <w:t>have had a confirmed anaphylactic reaction to a previous dose of a mRNA COVID-19 vaccine</w:t>
      </w:r>
    </w:p>
    <w:p w14:paraId="2D97FC7B" w14:textId="48B33841" w:rsidR="00B40C7F" w:rsidRPr="006B68BB" w:rsidRDefault="00B40C7F" w:rsidP="007D6887">
      <w:pPr>
        <w:pStyle w:val="Bullet1"/>
      </w:pPr>
      <w:r w:rsidRPr="006B68BB">
        <w:lastRenderedPageBreak/>
        <w:t>have had a confirmed anaphylactic reaction to any component of the vaccine or residual products from manufacture, these include polyethylene glycol (PEG).</w:t>
      </w:r>
      <w:r w:rsidR="004A51CF">
        <w:t xml:space="preserve"> </w:t>
      </w:r>
      <w:r w:rsidRPr="006B68BB">
        <w:t>Practitioners must check the marketing authorisation holder’s SmPC for details of vaccine components</w:t>
      </w:r>
    </w:p>
    <w:p w14:paraId="3ABDC397" w14:textId="1E81EB5F" w:rsidR="00B40C7F" w:rsidRPr="006B68BB" w:rsidRDefault="00B40C7F" w:rsidP="007D6887">
      <w:pPr>
        <w:pStyle w:val="Bullet1"/>
      </w:pPr>
      <w:r w:rsidRPr="006B68BB">
        <w:t>have a history of immediate anaphylaxis to multiple, different drug classes, with the trigger unidentified (this may indicate PEG allergy) unless the advice from relevant specialist, local immunisation or health protection team is that vaccination should proceed</w:t>
      </w:r>
    </w:p>
    <w:p w14:paraId="1D054795" w14:textId="792F5DE5" w:rsidR="00B40C7F" w:rsidRPr="006B68BB" w:rsidRDefault="00B40C7F" w:rsidP="007D6887">
      <w:pPr>
        <w:pStyle w:val="Bullet1"/>
      </w:pPr>
      <w:r w:rsidRPr="006B68BB">
        <w:t>have a history of anaphylaxis to a vaccine, injected antibody preparation or a medicine likely to contain PEG (e.g. depot steroid injection, laxative) unless the advice from relevant specialist, local immunisation or health protection team is that vaccination should proceed</w:t>
      </w:r>
    </w:p>
    <w:p w14:paraId="244F1B03" w14:textId="293217D9" w:rsidR="00B40C7F" w:rsidRPr="006B68BB" w:rsidRDefault="00B40C7F" w:rsidP="007D6887">
      <w:pPr>
        <w:pStyle w:val="Bullet1"/>
      </w:pPr>
      <w:r w:rsidRPr="006B68BB">
        <w:t>have a history of idiopathic (unexplained) anaphylaxis unless the advice from relevant specialist, local immunisation or health protection team is that vaccination should proceed</w:t>
      </w:r>
    </w:p>
    <w:p w14:paraId="5639C8F8" w14:textId="01C9AAD7" w:rsidR="008D6AED" w:rsidRPr="008D6AED" w:rsidRDefault="008D6AED" w:rsidP="007D6887">
      <w:pPr>
        <w:pStyle w:val="Bullet1"/>
      </w:pPr>
      <w:r w:rsidRPr="008D6AED">
        <w:t>are under 18 years of age</w:t>
      </w:r>
    </w:p>
    <w:p w14:paraId="01DFC7BC" w14:textId="30ABA6C4" w:rsidR="008D6AED" w:rsidRPr="008D6AED" w:rsidRDefault="008D6AED" w:rsidP="007D6887">
      <w:pPr>
        <w:pStyle w:val="Bullet1"/>
      </w:pPr>
      <w:r w:rsidRPr="008D6AED">
        <w:t>have evidence of current deterioration of COVID-19 symptoms: deferral of vaccination may be considered to avoid incorrect attribution of any change in the person’s underlying condition to the vaccine</w:t>
      </w:r>
    </w:p>
    <w:p w14:paraId="00FE3185" w14:textId="44296A92" w:rsidR="008D6AED" w:rsidRPr="008D6AED" w:rsidRDefault="008D6AED" w:rsidP="007D6887">
      <w:pPr>
        <w:pStyle w:val="Bullet1"/>
      </w:pPr>
      <w:r w:rsidRPr="008D6AED">
        <w:t>are suffering from acute severe febrile illness (the presence of a minor infection is not a contraindication for immunisation)</w:t>
      </w:r>
    </w:p>
    <w:p w14:paraId="32BE73F7" w14:textId="03EA4AD2" w:rsidR="008D6AED" w:rsidRPr="008D6AED" w:rsidRDefault="008D6AED" w:rsidP="007D6887">
      <w:pPr>
        <w:pStyle w:val="Bullet1"/>
      </w:pPr>
      <w:r w:rsidRPr="008D6AED">
        <w:t xml:space="preserve">are bone marrow and peripheral blood stem cell donors who have commenced </w:t>
      </w:r>
      <w:r w:rsidR="002E1F33" w:rsidRPr="002E1F33">
        <w:t xml:space="preserve">Granulocyte-colony stimulating factor </w:t>
      </w:r>
      <w:r w:rsidR="002E1F33">
        <w:t>(</w:t>
      </w:r>
      <w:r w:rsidRPr="008D6AED">
        <w:t>GCSF</w:t>
      </w:r>
      <w:r w:rsidR="002E1F33">
        <w:t>)</w:t>
      </w:r>
      <w:r w:rsidRPr="008D6AED">
        <w:t>: the vaccination (first or second dose) must be delayed at least until 72 hours after stem cell collection (both peripheral blood stem cell and bone marrow donation). This is precautionary advice to avoid vaccination when receiving GCSF and allow for post-donation recovery period</w:t>
      </w:r>
    </w:p>
    <w:p w14:paraId="278BFB57" w14:textId="00BFD6F8" w:rsidR="003A6E5E" w:rsidRDefault="008D6AED" w:rsidP="007D6887">
      <w:pPr>
        <w:pStyle w:val="Bullet1"/>
      </w:pPr>
      <w:r w:rsidRPr="008D6AED">
        <w:lastRenderedPageBreak/>
        <w:t>have developed myocarditis or pericarditis following a previous dose of COVID-19 vaccination.</w:t>
      </w:r>
    </w:p>
    <w:p w14:paraId="4D42B922" w14:textId="083579B7" w:rsidR="000E598D" w:rsidRDefault="007F2AC1" w:rsidP="007F2AC1">
      <w:pPr>
        <w:pStyle w:val="NormalH2"/>
      </w:pPr>
      <w:r>
        <w:t xml:space="preserve">1.4. </w:t>
      </w:r>
      <w:r w:rsidR="007639B5" w:rsidRPr="007639B5">
        <w:t>Cautions/need for further advice</w:t>
      </w:r>
      <w:r w:rsidR="004A51CF">
        <w:t>/</w:t>
      </w:r>
      <w:r w:rsidR="007639B5" w:rsidRPr="007639B5">
        <w:t xml:space="preserve">circumstances when </w:t>
      </w:r>
      <w:r w:rsidR="009D3EC8">
        <w:t>further advice should be sought from a doctor</w:t>
      </w:r>
    </w:p>
    <w:p w14:paraId="57FC8B32" w14:textId="77777777" w:rsidR="00F609D7" w:rsidRDefault="00F609D7" w:rsidP="00F609D7">
      <w:r w:rsidRPr="005C2149">
        <w:t>The Green Book advises that there are very few individuals who cannot receive COVID</w:t>
      </w:r>
      <w:r>
        <w:t>-19</w:t>
      </w:r>
      <w:r w:rsidRPr="005C2149">
        <w:t xml:space="preserve"> vaccine</w:t>
      </w:r>
      <w:r>
        <w:t>s</w:t>
      </w:r>
      <w:r w:rsidRPr="005C2149">
        <w:t>. Where there is doubt, rather than withholding vaccination, appropriate advice should be sought from the relevant specialist, or from the local immunisation or health protection team.</w:t>
      </w:r>
    </w:p>
    <w:p w14:paraId="69836E34" w14:textId="77777777" w:rsidR="00F609D7" w:rsidRPr="00F9631B" w:rsidRDefault="00F609D7" w:rsidP="00F9631B">
      <w:pPr>
        <w:pStyle w:val="NormalH3"/>
      </w:pPr>
      <w:r w:rsidRPr="00F9631B">
        <w:t>Individuals with a history of allergy</w:t>
      </w:r>
    </w:p>
    <w:p w14:paraId="7227BC12" w14:textId="7F5913AD" w:rsidR="00F609D7" w:rsidRDefault="00F609D7" w:rsidP="00F609D7">
      <w:r>
        <w:t>Those with a personal history of allergy should be managed in line with table 5</w:t>
      </w:r>
      <w:r w:rsidR="00750EBD">
        <w:t>,</w:t>
      </w:r>
      <w:r>
        <w:t xml:space="preserve"> G</w:t>
      </w:r>
      <w:r w:rsidRPr="00C949F2">
        <w:t>reen Book</w:t>
      </w:r>
      <w:r>
        <w:t>,</w:t>
      </w:r>
      <w:r w:rsidRPr="00C949F2">
        <w:t xml:space="preserve"> </w:t>
      </w:r>
      <w:hyperlink r:id="rId29" w:history="1">
        <w:r w:rsidRPr="00C949F2">
          <w:rPr>
            <w:rStyle w:val="Hyperlink"/>
          </w:rPr>
          <w:t>Chapter 14a</w:t>
        </w:r>
      </w:hyperlink>
      <w:r w:rsidRPr="00C949F2">
        <w:t>.</w:t>
      </w:r>
    </w:p>
    <w:p w14:paraId="7966F00D" w14:textId="18882B90" w:rsidR="00F609D7" w:rsidRDefault="00F609D7" w:rsidP="00F609D7">
      <w:r>
        <w:t xml:space="preserve">Where individuals have experienced a possible allergic reaction to a dose of </w:t>
      </w:r>
      <w:r w:rsidR="004A51CF">
        <w:br/>
      </w:r>
      <w:r>
        <w:t>COVID-19 vaccine, follow the guidance in the flowchart in G</w:t>
      </w:r>
      <w:r w:rsidRPr="00C949F2">
        <w:t xml:space="preserve">reen Book </w:t>
      </w:r>
      <w:hyperlink r:id="rId30" w:history="1">
        <w:r w:rsidRPr="00C949F2">
          <w:rPr>
            <w:rStyle w:val="Hyperlink"/>
          </w:rPr>
          <w:t>Chapter 14a</w:t>
        </w:r>
      </w:hyperlink>
      <w:r>
        <w:t xml:space="preserve"> in relation to administration of subsequent doses</w:t>
      </w:r>
      <w:r w:rsidRPr="00C949F2">
        <w:t>.</w:t>
      </w:r>
    </w:p>
    <w:p w14:paraId="7D142A1D" w14:textId="77777777" w:rsidR="00F609D7" w:rsidRPr="00C949F2" w:rsidRDefault="00F609D7" w:rsidP="00F609D7">
      <w:r>
        <w:t>G</w:t>
      </w:r>
      <w:r w:rsidRPr="00C949F2">
        <w:t xml:space="preserve">reen Book </w:t>
      </w:r>
      <w:hyperlink r:id="rId31" w:history="1">
        <w:r w:rsidRPr="00C949F2">
          <w:rPr>
            <w:rStyle w:val="Hyperlink"/>
          </w:rPr>
          <w:t>Chapter 14a</w:t>
        </w:r>
      </w:hyperlink>
      <w:r>
        <w:t xml:space="preserve"> s</w:t>
      </w:r>
      <w:r w:rsidRPr="005C2149">
        <w:t>tates individuals with non-allergic reactions (vasovagal episodes, non-urticarial skin reaction or non-specific symptoms) to the first dose of a COVID-19 vaccine can receive the second dose of vaccine in any vaccination setting.</w:t>
      </w:r>
      <w:r w:rsidRPr="00C949F2">
        <w:t xml:space="preserve"> Observation for 15 minutes is recommended.</w:t>
      </w:r>
    </w:p>
    <w:p w14:paraId="09A0A36F" w14:textId="77777777" w:rsidR="00F609D7" w:rsidRDefault="00F609D7" w:rsidP="00F609D7">
      <w:r w:rsidRPr="00C949F2">
        <w:t>No specific management is required for individuals wit</w:t>
      </w:r>
      <w:r>
        <w:t>h a family history of allergies.</w:t>
      </w:r>
    </w:p>
    <w:p w14:paraId="72AA8767" w14:textId="77777777" w:rsidR="00F609D7" w:rsidRPr="00AE0012" w:rsidRDefault="00F609D7" w:rsidP="00AE0012">
      <w:pPr>
        <w:pStyle w:val="NormalH3"/>
      </w:pPr>
      <w:r w:rsidRPr="00AE0012">
        <w:t>Individuals with thrombocytopenia</w:t>
      </w:r>
    </w:p>
    <w:p w14:paraId="13196F76" w14:textId="77777777" w:rsidR="00F609D7" w:rsidRDefault="00F609D7" w:rsidP="00F609D7">
      <w:r w:rsidRPr="001F0D55">
        <w:t>Guidance produced by the UK ITP Forum Working Party advises discussing the potential for a fall in platelet count in patients with a history of immune thrombocytopenia (ITP) receiving any COVID-19 vaccine and recommends a platelet count check 2-5 days after vaccination</w:t>
      </w:r>
      <w:r>
        <w:t>.</w:t>
      </w:r>
      <w:r w:rsidRPr="001F0D55">
        <w:t xml:space="preserve"> </w:t>
      </w:r>
    </w:p>
    <w:p w14:paraId="7A28A43F" w14:textId="77777777" w:rsidR="002A2ABB" w:rsidRPr="00AE0012" w:rsidRDefault="002A2ABB" w:rsidP="00AE0012">
      <w:pPr>
        <w:pStyle w:val="NormalH3"/>
      </w:pPr>
      <w:r w:rsidRPr="00AE0012">
        <w:lastRenderedPageBreak/>
        <w:t>Capillary leak syndrome</w:t>
      </w:r>
    </w:p>
    <w:p w14:paraId="0F8EF3B8" w14:textId="5C100271" w:rsidR="002A2ABB" w:rsidRDefault="002A2ABB" w:rsidP="00F609D7">
      <w:r w:rsidRPr="005A700B">
        <w:t>Extremely rare reports of capillary leak syndrome have been reported after Moderna vaccines in individuals with a prior history of this condition. Individuals with a history of capillary leak syndrome, should be carefully counselled about the risks and benefits of vaccination and advice from a specialist should be sought.</w:t>
      </w:r>
    </w:p>
    <w:p w14:paraId="51D5AADA" w14:textId="77777777" w:rsidR="00F609D7" w:rsidRPr="00AE0012" w:rsidRDefault="00F609D7" w:rsidP="00AE0012">
      <w:pPr>
        <w:pStyle w:val="NormalH3"/>
      </w:pPr>
      <w:r w:rsidRPr="00AE0012">
        <w:t>Guillain-Barré syndrome (GBS)</w:t>
      </w:r>
    </w:p>
    <w:p w14:paraId="0D0854C0" w14:textId="1812A43A" w:rsidR="00F609D7" w:rsidRDefault="00F609D7" w:rsidP="00F609D7">
      <w:r w:rsidRPr="0054227E">
        <w:t>Very rare reports have been received of GBS</w:t>
      </w:r>
      <w:r>
        <w:t xml:space="preserve"> following COVID-19 vaccination. </w:t>
      </w:r>
      <w:r w:rsidRPr="0054227E">
        <w:t xml:space="preserve">Individuals who have a history of GBS should be vaccinated as recommended for their age and underlying risk status. In those who are diagnosed with GBS after the first dose of vaccine, the balance of risk benefit is in favour of completing a full COVID-19 vaccination </w:t>
      </w:r>
      <w:r w:rsidRPr="00A4489C">
        <w:t>schedule</w:t>
      </w:r>
      <w:r w:rsidR="00A4489C" w:rsidRPr="00A4489C">
        <w:t xml:space="preserve">. </w:t>
      </w:r>
      <w:r w:rsidRPr="0054227E">
        <w:t>Where GBS occurs following either of the mRNA vaccines, further vaccination can proceed as normal, once recovered.</w:t>
      </w:r>
    </w:p>
    <w:p w14:paraId="13A7FE47" w14:textId="77777777" w:rsidR="00F609D7" w:rsidRPr="00AE0012" w:rsidRDefault="00F609D7" w:rsidP="00AE0012">
      <w:pPr>
        <w:pStyle w:val="NormalH3"/>
      </w:pPr>
      <w:r w:rsidRPr="00AE0012">
        <w:t>Individuals with a bleeding history</w:t>
      </w:r>
    </w:p>
    <w:p w14:paraId="2ED2A9EF" w14:textId="77777777" w:rsidR="00F609D7" w:rsidRDefault="00F609D7" w:rsidP="00F609D7">
      <w:r w:rsidRPr="005C2149">
        <w:t>Individuals with a bleeding disorder may develop a haematoma at the injection site (see Route of Administration).</w:t>
      </w:r>
    </w:p>
    <w:p w14:paraId="0B1A77E1" w14:textId="77777777" w:rsidR="00F609D7" w:rsidRPr="00AE0012" w:rsidRDefault="00F609D7" w:rsidP="00AE0012">
      <w:pPr>
        <w:pStyle w:val="NormalH3"/>
      </w:pPr>
      <w:r w:rsidRPr="00AE0012">
        <w:t>Co-administration with other vaccines</w:t>
      </w:r>
    </w:p>
    <w:p w14:paraId="3B927CC4" w14:textId="3AFBE584" w:rsidR="000D4E28" w:rsidRDefault="00F609D7" w:rsidP="00C15909">
      <w:r>
        <w:t>The</w:t>
      </w:r>
      <w:r w:rsidRPr="005C2149">
        <w:t xml:space="preserve"> COVID-19 vaccines </w:t>
      </w:r>
      <w:r>
        <w:t xml:space="preserve">in use in the UK </w:t>
      </w:r>
      <w:r w:rsidRPr="005C2149">
        <w:t>are considered inactivated</w:t>
      </w:r>
      <w:r w:rsidR="003374A3">
        <w:t>:</w:t>
      </w:r>
      <w:r w:rsidRPr="005C2149">
        <w:t xml:space="preserve"> where individuals in an eligible cohort present having recently received another inactivated or live vaccine, COVID-19 vaccination should still be given. The same applies for other live and inactivated vaccines where COVID-19 vaccination has been received first or where a patient presents requiring two or more vaccines. It is generally better for vaccination to proceed to avoid any further delay in protection and to avoid the risk of the patient not returning for a later appointment. This includes</w:t>
      </w:r>
      <w:r w:rsidR="00141078">
        <w:t>,</w:t>
      </w:r>
      <w:r w:rsidRPr="005C2149">
        <w:t xml:space="preserve"> but is not limited</w:t>
      </w:r>
      <w:r w:rsidR="00141078">
        <w:t>,</w:t>
      </w:r>
      <w:r w:rsidRPr="005C2149">
        <w:t xml:space="preserve"> to vaccines commonly administered around the same time or in the </w:t>
      </w:r>
      <w:r w:rsidRPr="00C15909">
        <w:t xml:space="preserve">same settings (including </w:t>
      </w:r>
      <w:r w:rsidR="005A0517" w:rsidRPr="00C15909">
        <w:t xml:space="preserve">inactivated </w:t>
      </w:r>
      <w:r w:rsidRPr="00C15909">
        <w:t>influenza</w:t>
      </w:r>
      <w:r w:rsidR="005A0517" w:rsidRPr="00C15909">
        <w:t xml:space="preserve"> vaccine</w:t>
      </w:r>
      <w:r w:rsidRPr="00C15909">
        <w:t>, pneumococcal polysaccharide vaccine</w:t>
      </w:r>
      <w:r w:rsidR="005A0517" w:rsidRPr="00C15909">
        <w:t>,</w:t>
      </w:r>
      <w:r w:rsidRPr="00C15909">
        <w:t xml:space="preserve"> shingles</w:t>
      </w:r>
      <w:r w:rsidR="005A0517" w:rsidRPr="00C15909">
        <w:t xml:space="preserve"> vaccine</w:t>
      </w:r>
      <w:r w:rsidRPr="00C15909">
        <w:t xml:space="preserve">, pertussis-containing vaccines and influenza vaccines </w:t>
      </w:r>
      <w:r w:rsidR="004A51CF">
        <w:br/>
      </w:r>
      <w:r w:rsidRPr="00C15909">
        <w:t>in pregnancy</w:t>
      </w:r>
      <w:r w:rsidR="00893F17">
        <w:t>)</w:t>
      </w:r>
      <w:r w:rsidR="00207B7F">
        <w:t>.</w:t>
      </w:r>
    </w:p>
    <w:p w14:paraId="3F86AE99" w14:textId="35CBE040" w:rsidR="00593294" w:rsidRDefault="00593294" w:rsidP="00C15909">
      <w:r w:rsidRPr="00AC3D5E">
        <w:lastRenderedPageBreak/>
        <w:t xml:space="preserve">It is recommended that RSV vaccine is not routinely scheduled to be given to an older adult at the same appointment or on the same day as an influenza or COVID-19 vaccine. No specific interval is required between administering the vaccines. If it is thought that the individual is unlikely to return for a second appointment or immediate protection is necessary, </w:t>
      </w:r>
      <w:r w:rsidR="001548DB" w:rsidRPr="00AC3D5E">
        <w:t>RSV vaccine (</w:t>
      </w:r>
      <w:proofErr w:type="spellStart"/>
      <w:r w:rsidRPr="00AC3D5E">
        <w:t>Abrysvo</w:t>
      </w:r>
      <w:proofErr w:type="spellEnd"/>
      <w:r w:rsidRPr="00AC3D5E">
        <w:t>®</w:t>
      </w:r>
      <w:r w:rsidR="001548DB" w:rsidRPr="00AC3D5E">
        <w:t>)</w:t>
      </w:r>
      <w:r w:rsidRPr="00AC3D5E">
        <w:t xml:space="preserve"> can be administered at the same time as influenza and/or COVID-19 vaccination.</w:t>
      </w:r>
      <w:r w:rsidRPr="00593294">
        <w:t xml:space="preserve"> </w:t>
      </w:r>
    </w:p>
    <w:p w14:paraId="2CD7CD3F" w14:textId="5AEA0D0E" w:rsidR="00A36757" w:rsidRPr="001548DB" w:rsidRDefault="00A36757" w:rsidP="00C15909">
      <w:r>
        <w:t xml:space="preserve">Pregnant women can safely have </w:t>
      </w:r>
      <w:proofErr w:type="spellStart"/>
      <w:r w:rsidRPr="0029022E">
        <w:t>Abrysvo</w:t>
      </w:r>
      <w:proofErr w:type="spellEnd"/>
      <w:r w:rsidRPr="0029022E">
        <w:t xml:space="preserve">® </w:t>
      </w:r>
      <w:r>
        <w:t xml:space="preserve">co-administered with influenza vaccine, anti-D immunoglobulin or COVID-19 vaccine. </w:t>
      </w:r>
    </w:p>
    <w:p w14:paraId="68626A11" w14:textId="0A9EDDE7" w:rsidR="00F609D7" w:rsidRDefault="00F609D7" w:rsidP="00F609D7">
      <w:r w:rsidRPr="00E020EE">
        <w:t>When administering at the same time as other vaccines, care should be taken to ensure that the appropriate route of injection is used for all the vaccinations. The vaccines should be given at separate sites, preferably in different limbs. If given in the same limb, they should be given at least 2.5cm apart. The site at which each vaccine was given should be noted in the individual’s records.</w:t>
      </w:r>
    </w:p>
    <w:p w14:paraId="71D6E66D" w14:textId="37CEBBC1" w:rsidR="00F609D7" w:rsidRPr="004A51CF" w:rsidRDefault="00F609D7" w:rsidP="004A51CF">
      <w:pPr>
        <w:pStyle w:val="NormalH3"/>
      </w:pPr>
      <w:r w:rsidRPr="004A51CF">
        <w:t>Syncope</w:t>
      </w:r>
    </w:p>
    <w:p w14:paraId="449AD5AD" w14:textId="2C7E24AC" w:rsidR="00750EBD" w:rsidRDefault="00F609D7" w:rsidP="00767FA7">
      <w:r w:rsidRPr="005C2149">
        <w:t>Syncope (fainting) can occur following, or even before, any vaccination especially in adolescents as a psychogenic response to the needle injection. This can be accompanied by several neurological signs such as transient visual disturbance, paraesthesia and tonic-clonic limb movements during recovery. It is important that procedures are in place to avoid injury from faints.</w:t>
      </w:r>
    </w:p>
    <w:p w14:paraId="6FC10642" w14:textId="2B38FEFC" w:rsidR="00F609D7" w:rsidRPr="00F9631B" w:rsidRDefault="00F609D7" w:rsidP="00F9631B">
      <w:pPr>
        <w:pStyle w:val="NormalH3"/>
      </w:pPr>
      <w:r w:rsidRPr="00F9631B">
        <w:t>Pregnancy and breastfeeding</w:t>
      </w:r>
    </w:p>
    <w:p w14:paraId="5B1A0B36" w14:textId="77777777" w:rsidR="00F609D7" w:rsidRPr="00B226DB" w:rsidRDefault="00F609D7" w:rsidP="00F609D7">
      <w:r w:rsidRPr="00B226DB">
        <w:t>JCVI advise there is no known risk associated with giving these types of vaccines during pregnancy. These vaccines cannot replicate, so they cannot cause infection in either the woman or the unborn child.</w:t>
      </w:r>
    </w:p>
    <w:p w14:paraId="447230E8" w14:textId="77777777" w:rsidR="00FC59DA" w:rsidRPr="00B226DB" w:rsidRDefault="00FC59DA" w:rsidP="00FC59DA">
      <w:r w:rsidRPr="00B226DB">
        <w:t>Vaccination</w:t>
      </w:r>
      <w:r>
        <w:t xml:space="preserve"> should be offered for eligible pregnant women</w:t>
      </w:r>
      <w:r w:rsidRPr="00B226DB">
        <w:t xml:space="preserve"> in accordance with recommendations in Green Book </w:t>
      </w:r>
      <w:hyperlink r:id="rId32" w:history="1">
        <w:r w:rsidRPr="00B226DB">
          <w:rPr>
            <w:rStyle w:val="Hyperlink"/>
          </w:rPr>
          <w:t>Chapter 14a</w:t>
        </w:r>
      </w:hyperlink>
      <w:r w:rsidRPr="00B226DB">
        <w:t>, following a discussion of the risks and benefits of vaccination with the woman.</w:t>
      </w:r>
    </w:p>
    <w:p w14:paraId="2337F208" w14:textId="77777777" w:rsidR="00F609D7" w:rsidRDefault="00F609D7" w:rsidP="00F609D7">
      <w:r w:rsidRPr="00B226DB">
        <w:lastRenderedPageBreak/>
        <w:t xml:space="preserve">There is no known risk associated with giving non-live vaccines whilst breastfeeding. JCVI advises that breastfeeding women may be offered vaccination with any suitable COVID-19 vaccine. Emerging safety data is </w:t>
      </w:r>
      <w:proofErr w:type="gramStart"/>
      <w:r w:rsidRPr="00B226DB">
        <w:t>reassuring:</w:t>
      </w:r>
      <w:proofErr w:type="gramEnd"/>
      <w:r w:rsidRPr="00B226DB">
        <w:t xml:space="preserve"> mRNA was not detected in the breast milk of recently vaccinated and protective antibodies have been detected in breast milk. The developmental and health benefits of breastfeeding should be considered along with the woman’s clinical need for immunisation against COVID-19.</w:t>
      </w:r>
    </w:p>
    <w:p w14:paraId="0F8F3681" w14:textId="77777777" w:rsidR="00F609D7" w:rsidRPr="00F9631B" w:rsidRDefault="00F609D7" w:rsidP="00F9631B">
      <w:pPr>
        <w:pStyle w:val="NormalH3"/>
      </w:pPr>
      <w:r w:rsidRPr="00F9631B">
        <w:t>Clinical trial participants</w:t>
      </w:r>
    </w:p>
    <w:p w14:paraId="508264D3" w14:textId="5D43D393" w:rsidR="006B6C7B" w:rsidRDefault="00F609D7" w:rsidP="00F609D7">
      <w:r w:rsidRPr="005C2149">
        <w:t xml:space="preserve">Individuals who have participated in a clinical trial of </w:t>
      </w:r>
      <w:r w:rsidRPr="008561F2">
        <w:t xml:space="preserve">either primary or booster </w:t>
      </w:r>
      <w:r w:rsidRPr="005C2149">
        <w:t xml:space="preserve">COVID-19 vaccines should be provided with written advice on whether and when they should be safely vaccinated in the routine programme. Advice should also be provided from the trial investigators on whether any individual </w:t>
      </w:r>
      <w:r>
        <w:t>could</w:t>
      </w:r>
      <w:r w:rsidRPr="005C2149">
        <w:t xml:space="preserve"> receive additional doses for the purposes of vaccine certification. Trial participants who are eligible for boosters should be offered vaccination in line with the general population, </w:t>
      </w:r>
      <w:r>
        <w:t>at least three</w:t>
      </w:r>
      <w:r w:rsidRPr="005C2149">
        <w:t xml:space="preserve"> months after the dose considered as the final primary dose or the final revaccination (if the latter is required for certification purposes).</w:t>
      </w:r>
    </w:p>
    <w:p w14:paraId="0ED1104A" w14:textId="77777777" w:rsidR="00F609D7" w:rsidRPr="004A51CF" w:rsidRDefault="00F609D7" w:rsidP="004A51CF">
      <w:pPr>
        <w:pStyle w:val="NormalH3"/>
      </w:pPr>
      <w:r w:rsidRPr="004A51CF">
        <w:t>Individuals with a past history of COVID-19 infection</w:t>
      </w:r>
    </w:p>
    <w:p w14:paraId="3F9929C3" w14:textId="1A5DF7F0" w:rsidR="00C15909" w:rsidRDefault="00F609D7" w:rsidP="00F609D7">
      <w:r w:rsidRPr="003352E5">
        <w:t xml:space="preserve">There </w:t>
      </w:r>
      <w:r w:rsidR="00C15909">
        <w:t xml:space="preserve">are no safety concerns from vaccinating </w:t>
      </w:r>
      <w:r w:rsidR="00C15909" w:rsidRPr="003352E5">
        <w:t>with a past history of COVID-19 infection, or with detectable COVID-19 antibody.</w:t>
      </w:r>
    </w:p>
    <w:p w14:paraId="653212C8" w14:textId="3D933BB6" w:rsidR="00F609D7" w:rsidRDefault="00F609D7" w:rsidP="006B6C7B">
      <w:r w:rsidRPr="003352E5">
        <w:t>Vaccination of individuals who may be infected or asymptomatic or incubating COVID-19 infection is unlikely to have a detrimental effect on the illness</w:t>
      </w:r>
      <w:r w:rsidR="00152413">
        <w:t xml:space="preserve"> </w:t>
      </w:r>
      <w:r w:rsidR="006B6C7B">
        <w:t>although individuals with suspected COVID-19 infection should not attend vaccination sessions to avoid infecting others</w:t>
      </w:r>
      <w:r w:rsidRPr="003352E5">
        <w:t xml:space="preserve">. </w:t>
      </w:r>
    </w:p>
    <w:p w14:paraId="1BE4C311" w14:textId="2B452566" w:rsidR="004F136C" w:rsidRDefault="00F609D7" w:rsidP="006B6C7B">
      <w:r w:rsidRPr="00B15B29">
        <w:t>There is no need to defer immunisation in individuals after recovery from a recent episode with compatible symptoms</w:t>
      </w:r>
      <w:r w:rsidR="00C15909">
        <w:t xml:space="preserve">, </w:t>
      </w:r>
      <w:r w:rsidR="006B6C7B">
        <w:t>whether or not they are tested for COVID-19.</w:t>
      </w:r>
      <w:r>
        <w:t xml:space="preserve"> </w:t>
      </w:r>
      <w:bookmarkStart w:id="31" w:name="_Hlk128391676"/>
    </w:p>
    <w:p w14:paraId="3F824445" w14:textId="0B8AA57E" w:rsidR="006B6C7B" w:rsidRDefault="00F609D7" w:rsidP="00F609D7">
      <w:r w:rsidRPr="00C15909">
        <w:t>During care home outbreaks, vaccination of residents with confirmed COVID-19 may go ahead provided the residents are clinically stable and infection control procedures can be maintained</w:t>
      </w:r>
      <w:bookmarkEnd w:id="31"/>
      <w:r w:rsidRPr="00C15909">
        <w:t>.</w:t>
      </w:r>
      <w:r>
        <w:t xml:space="preserve"> </w:t>
      </w:r>
    </w:p>
    <w:p w14:paraId="526FA727" w14:textId="178D3782" w:rsidR="007639B5" w:rsidRDefault="00F9631B" w:rsidP="00CB1E07">
      <w:pPr>
        <w:pStyle w:val="NormalH2"/>
      </w:pPr>
      <w:r>
        <w:br w:type="page"/>
      </w:r>
      <w:r w:rsidR="00817A4C">
        <w:lastRenderedPageBreak/>
        <w:t xml:space="preserve">1.5 </w:t>
      </w:r>
      <w:r w:rsidR="007639B5" w:rsidRPr="007639B5">
        <w:t>Action if excluded</w:t>
      </w:r>
    </w:p>
    <w:p w14:paraId="5BCF5056" w14:textId="339BBCB5" w:rsidR="00F609D7" w:rsidRPr="000A3785" w:rsidRDefault="00F609D7" w:rsidP="00F609D7">
      <w:r>
        <w:t>Specialist advice must be sought on the vaccine and circumstances under which it could be given</w:t>
      </w:r>
      <w:r w:rsidRPr="000A3785">
        <w:t xml:space="preserve">. Immunisation using a patient specific direction may be indicated. </w:t>
      </w:r>
      <w:r w:rsidR="00B43541">
        <w:br/>
      </w:r>
      <w:r w:rsidRPr="000A3785">
        <w:t xml:space="preserve">The risk to the individual of not being immunised must be </w:t>
      </w:r>
      <w:proofErr w:type="gramStart"/>
      <w:r w:rsidRPr="000A3785">
        <w:t>taken into account</w:t>
      </w:r>
      <w:proofErr w:type="gramEnd"/>
      <w:r w:rsidRPr="000A3785">
        <w:t>.</w:t>
      </w:r>
    </w:p>
    <w:p w14:paraId="3B49E2BC" w14:textId="65E5EDA7" w:rsidR="00F609D7" w:rsidRPr="000A3785" w:rsidRDefault="00F609D7" w:rsidP="00F609D7">
      <w:r>
        <w:t xml:space="preserve">Document the reason for exclusion and any action taken in accordance with </w:t>
      </w:r>
      <w:r w:rsidR="00AE0012">
        <w:br/>
      </w:r>
      <w:r>
        <w:t>local procedures.</w:t>
      </w:r>
    </w:p>
    <w:p w14:paraId="1C8C2AEE" w14:textId="77777777" w:rsidR="00F609D7" w:rsidRDefault="00F609D7" w:rsidP="00F609D7">
      <w:r>
        <w:t>Inform or refer to the clinician in charge.</w:t>
      </w:r>
    </w:p>
    <w:p w14:paraId="4E01D05B" w14:textId="77777777" w:rsidR="00F609D7" w:rsidRPr="004A51CF" w:rsidRDefault="00F609D7" w:rsidP="004A51CF">
      <w:pPr>
        <w:pStyle w:val="NormalH3"/>
      </w:pPr>
      <w:r w:rsidRPr="004A51CF">
        <w:t>Temporary exclusion</w:t>
      </w:r>
    </w:p>
    <w:p w14:paraId="36A31836" w14:textId="77777777" w:rsidR="00F609D7" w:rsidRDefault="00F609D7" w:rsidP="00F609D7">
      <w:r w:rsidRPr="004D0653">
        <w:t>In case of postponement due to acute severe febrile illness, advise when the individual can be vaccinated and ensure another appointment is arranged.</w:t>
      </w:r>
    </w:p>
    <w:p w14:paraId="17CA76E9" w14:textId="60CC1A22" w:rsidR="00F609D7" w:rsidRDefault="00F609D7" w:rsidP="00F609D7">
      <w:r w:rsidRPr="00B15B29">
        <w:t>In case of deferral due to COVID-19 symptoms advise when the individual can be vaccinated and how future vaccination may be accessed.</w:t>
      </w:r>
    </w:p>
    <w:p w14:paraId="0811608C" w14:textId="77777777" w:rsidR="007639B5" w:rsidRDefault="007F2AC1" w:rsidP="007F2AC1">
      <w:pPr>
        <w:pStyle w:val="NormalH2"/>
      </w:pPr>
      <w:r>
        <w:t xml:space="preserve">1.6. </w:t>
      </w:r>
      <w:r w:rsidR="007639B5" w:rsidRPr="007639B5">
        <w:t>Action if patient declines</w:t>
      </w:r>
    </w:p>
    <w:p w14:paraId="1DB17F21" w14:textId="596CC0F2" w:rsidR="00817A4C" w:rsidRPr="001712F3" w:rsidRDefault="00817A4C" w:rsidP="00817A4C">
      <w:r w:rsidRPr="001712F3">
        <w:t xml:space="preserve">Advise the individual about the protective effects of the vaccine, the risks of infection and potential complications of disease. </w:t>
      </w:r>
    </w:p>
    <w:p w14:paraId="3D66C52B" w14:textId="77777777" w:rsidR="00817A4C" w:rsidRPr="001712F3" w:rsidRDefault="00817A4C" w:rsidP="00817A4C">
      <w:r w:rsidRPr="001712F3">
        <w:t>Advise how future immunisation may be accessed if they subsequently decide to receive the vaccine.</w:t>
      </w:r>
    </w:p>
    <w:p w14:paraId="2AA6D498" w14:textId="77777777" w:rsidR="00817A4C" w:rsidRPr="001712F3" w:rsidRDefault="00817A4C" w:rsidP="00817A4C">
      <w:r w:rsidRPr="001712F3">
        <w:t xml:space="preserve">Document advice given and decision reached. </w:t>
      </w:r>
    </w:p>
    <w:p w14:paraId="5D369A1E" w14:textId="77777777" w:rsidR="00090215" w:rsidRPr="007F2AC1" w:rsidRDefault="00817A4C">
      <w:r w:rsidRPr="001712F3">
        <w:t>Inform or refer to the clinician in charge.</w:t>
      </w:r>
      <w:r w:rsidR="00090215">
        <w:br w:type="page"/>
      </w:r>
    </w:p>
    <w:p w14:paraId="12C35501" w14:textId="77777777" w:rsidR="007639B5" w:rsidRDefault="007F2AC1" w:rsidP="007F2AC1">
      <w:pPr>
        <w:pStyle w:val="NormalH1"/>
      </w:pPr>
      <w:bookmarkStart w:id="32" w:name="_Toc124848777"/>
      <w:bookmarkStart w:id="33" w:name="_Toc193362804"/>
      <w:r>
        <w:lastRenderedPageBreak/>
        <w:t xml:space="preserve">2. </w:t>
      </w:r>
      <w:r w:rsidR="007639B5" w:rsidRPr="00817C6A">
        <w:t>Description</w:t>
      </w:r>
      <w:r w:rsidR="007639B5" w:rsidRPr="007639B5">
        <w:t xml:space="preserve"> of treatment</w:t>
      </w:r>
      <w:bookmarkEnd w:id="32"/>
      <w:bookmarkEnd w:id="33"/>
    </w:p>
    <w:p w14:paraId="2E59CEF5" w14:textId="77777777" w:rsidR="00C2720C" w:rsidRDefault="003431FF" w:rsidP="00C2720C">
      <w:pPr>
        <w:pStyle w:val="NormalH2"/>
      </w:pPr>
      <w:r>
        <w:t xml:space="preserve">2.1. </w:t>
      </w:r>
      <w:r w:rsidR="002A3357" w:rsidRPr="002A3357">
        <w:t>Name of medicine/form/strength</w:t>
      </w:r>
      <w:bookmarkStart w:id="34" w:name="_Hlk144385924"/>
    </w:p>
    <w:p w14:paraId="570E70ED" w14:textId="1D853932" w:rsidR="00BC2D0A" w:rsidRDefault="00E21E52" w:rsidP="00BC2D0A">
      <w:r w:rsidRPr="00E21E52">
        <w:t>Comirnaty JN.1</w:t>
      </w:r>
      <w:r>
        <w:t xml:space="preserve"> </w:t>
      </w:r>
      <w:r w:rsidRPr="00E21E52">
        <w:t>30 micrograms/dose dispersion for injection COVID-19 mRNA Vaccine</w:t>
      </w:r>
      <w:r w:rsidR="00007236">
        <w:t>.</w:t>
      </w:r>
      <w:r w:rsidR="00BF3E42">
        <w:t xml:space="preserve"> </w:t>
      </w:r>
      <w:bookmarkEnd w:id="34"/>
      <w:r w:rsidR="00AD201B" w:rsidRPr="00AD201B">
        <w:t>Multidose vial that contains 6 doses of 0.3 m</w:t>
      </w:r>
      <w:r w:rsidR="00475E17">
        <w:t>l</w:t>
      </w:r>
      <w:r w:rsidR="00AD201B" w:rsidRPr="00AD201B">
        <w:t xml:space="preserve">. </w:t>
      </w:r>
      <w:r w:rsidR="00BC2D0A">
        <w:t xml:space="preserve">One dose (0.3 </w:t>
      </w:r>
      <w:r w:rsidR="00802E69">
        <w:t>ml</w:t>
      </w:r>
      <w:r w:rsidR="00BC2D0A">
        <w:t xml:space="preserve">) </w:t>
      </w:r>
      <w:r w:rsidR="005942CC">
        <w:br/>
      </w:r>
      <w:r w:rsidR="00BC2D0A">
        <w:t xml:space="preserve">contains 30 micrograms of </w:t>
      </w:r>
      <w:proofErr w:type="spellStart"/>
      <w:r w:rsidR="00D71F84">
        <w:t>b</w:t>
      </w:r>
      <w:r w:rsidR="00D71F84" w:rsidRPr="00D71F84">
        <w:t>retovameran</w:t>
      </w:r>
      <w:proofErr w:type="spellEnd"/>
      <w:r w:rsidR="00BC2D0A">
        <w:t>,</w:t>
      </w:r>
      <w:r w:rsidR="004F7E8F">
        <w:t xml:space="preserve"> a</w:t>
      </w:r>
      <w:r w:rsidR="00BC2D0A">
        <w:t xml:space="preserve"> COVID-19 mRNA Vaccine (embedded </w:t>
      </w:r>
      <w:r w:rsidR="005942CC">
        <w:br/>
      </w:r>
      <w:r w:rsidR="00BC2D0A">
        <w:t>in</w:t>
      </w:r>
      <w:r w:rsidR="00B6700A">
        <w:t xml:space="preserve"> </w:t>
      </w:r>
      <w:r w:rsidR="00BC2D0A">
        <w:t>lipid nanoparticles).</w:t>
      </w:r>
    </w:p>
    <w:p w14:paraId="1D8AA7BE" w14:textId="0489240D" w:rsidR="00CE4A87" w:rsidRDefault="008278DC" w:rsidP="00BC2D0A">
      <w:r w:rsidRPr="008278DC">
        <w:t>Spikevax JN.1 COVID-19 mRNA Vaccine 0.1mg/1ml dispersion for injection</w:t>
      </w:r>
      <w:r w:rsidR="00007236">
        <w:t>.</w:t>
      </w:r>
      <w:r w:rsidR="00ED56CB">
        <w:t xml:space="preserve"> </w:t>
      </w:r>
      <w:r w:rsidR="00CE4A87" w:rsidRPr="00CE4A87">
        <w:t xml:space="preserve">Multidose vial that contains 5 doses of 0.5 ml each. One dose (0.5 ml) contains </w:t>
      </w:r>
      <w:r w:rsidR="005942CC">
        <w:br/>
      </w:r>
      <w:r w:rsidR="00CE4A87" w:rsidRPr="00CE4A87">
        <w:t>50 micrograms of</w:t>
      </w:r>
      <w:r w:rsidR="00DF0A49" w:rsidRPr="00DF0A49">
        <w:rPr>
          <w:rFonts w:ascii="Montserrat" w:hAnsi="Montserrat"/>
          <w:color w:val="161616"/>
          <w:sz w:val="21"/>
          <w:szCs w:val="21"/>
          <w:shd w:val="clear" w:color="auto" w:fill="FFFFFF"/>
        </w:rPr>
        <w:t xml:space="preserve"> </w:t>
      </w:r>
      <w:r w:rsidR="00DF0A49" w:rsidRPr="00DF0A49">
        <w:t>mRNA-1273.167</w:t>
      </w:r>
      <w:r w:rsidR="00CE4A87" w:rsidRPr="00CE4A87">
        <w:t xml:space="preserve">, a COVID-19 mRNA Vaccine (embedded in </w:t>
      </w:r>
      <w:r w:rsidR="005942CC">
        <w:br/>
      </w:r>
      <w:r w:rsidR="00CE4A87" w:rsidRPr="00CE4A87">
        <w:t>lipid nanoparticles).</w:t>
      </w:r>
    </w:p>
    <w:p w14:paraId="37096F4A" w14:textId="5AAEC931" w:rsidR="002A3357" w:rsidRDefault="003431FF" w:rsidP="007F2AC1">
      <w:pPr>
        <w:pStyle w:val="NormalH2"/>
      </w:pPr>
      <w:bookmarkStart w:id="35" w:name="_Toc57039419"/>
      <w:r>
        <w:t xml:space="preserve">2.2. </w:t>
      </w:r>
      <w:r w:rsidR="002A3357" w:rsidRPr="002A3357">
        <w:t>Route of administration</w:t>
      </w:r>
      <w:bookmarkEnd w:id="35"/>
    </w:p>
    <w:p w14:paraId="586EAEA2" w14:textId="77777777" w:rsidR="00C750DC" w:rsidRDefault="00C750DC" w:rsidP="00C750DC">
      <w:r>
        <w:t>COVID-19 vaccines must be administered by intramuscular (IM) injection preferably into the deltoid area of the upper arm. Where administration into the deltoid is not possible the anterolateral thigh can be considered.</w:t>
      </w:r>
    </w:p>
    <w:p w14:paraId="02752F34" w14:textId="292E6202" w:rsidR="00C750DC" w:rsidRDefault="00C750DC" w:rsidP="00C750DC">
      <w:r>
        <w:t xml:space="preserve">Individuals with bleeding disorders may be vaccinated intramuscularly if, in the opinion of a doctor familiar with individual’s bleeding risk, vaccines or similar small volume intramuscular injections can be administered with reasonable safety by this route. If the individual receives medication/ treatment to reduce bleeding, for example treatment for haemophilia, intramuscular vaccination can be scheduled shortly after such medication/treatment is administered. Individuals on stable anticoagulation therapy, including individuals on warfarin who are </w:t>
      </w:r>
      <w:proofErr w:type="gramStart"/>
      <w:r>
        <w:t>up-to-date</w:t>
      </w:r>
      <w:proofErr w:type="gramEnd"/>
      <w:r>
        <w:t xml:space="preserve"> with their scheduled INR testing and whose latest INR is below the upper level of the therapeutic range, can receive intramuscular vaccination. A fine needle (23 or 25 gauge) should be used for the vaccination, followed by firm pressure applied to the site without rubbing for at least 2 minutes. The individual/parent/carer should be informed about the risk of haematoma from the injection.</w:t>
      </w:r>
    </w:p>
    <w:p w14:paraId="44121C35" w14:textId="25D54999" w:rsidR="00F609D7" w:rsidRDefault="00F609D7" w:rsidP="00F609D7">
      <w:r w:rsidRPr="005C2149">
        <w:lastRenderedPageBreak/>
        <w:t>Each vial contains at least the number of doses stated. It is normal for liquid to remain in the vial a</w:t>
      </w:r>
      <w:r>
        <w:t>fter withdrawing the final dose</w:t>
      </w:r>
      <w:r w:rsidRPr="005C2149">
        <w:t xml:space="preserve">. </w:t>
      </w:r>
    </w:p>
    <w:p w14:paraId="05D0EEA1" w14:textId="2C90C368" w:rsidR="00F609D7" w:rsidRPr="005C2149" w:rsidRDefault="00F609D7" w:rsidP="00F609D7">
      <w:r w:rsidRPr="005C2149">
        <w:t>Care shou</w:t>
      </w:r>
      <w:r>
        <w:t xml:space="preserve">ld be taken to ensure a full </w:t>
      </w:r>
      <w:r w:rsidRPr="005C2149">
        <w:t>dose i</w:t>
      </w:r>
      <w:r>
        <w:t>s administered. Where a full</w:t>
      </w:r>
      <w:r w:rsidR="006D09FB">
        <w:t xml:space="preserve"> </w:t>
      </w:r>
      <w:r w:rsidRPr="005C2149">
        <w:t>dose cannot be extracted, the remaining volume should be discarded.</w:t>
      </w:r>
    </w:p>
    <w:p w14:paraId="3B5F5401" w14:textId="77777777" w:rsidR="00F609D7" w:rsidRPr="00201365" w:rsidRDefault="00F609D7" w:rsidP="00F609D7">
      <w:r>
        <w:t>The vaccine should be visually inspected for particulate matter and discoloration prior to administration. In the event of any foreign particulate matter and/or variation of physical aspect being observed, do not administer the vaccine.</w:t>
      </w:r>
    </w:p>
    <w:p w14:paraId="7FFF4511" w14:textId="6CCEAB27" w:rsidR="002A3357" w:rsidRDefault="003431FF" w:rsidP="007F2AC1">
      <w:pPr>
        <w:pStyle w:val="NormalH2"/>
      </w:pPr>
      <w:bookmarkStart w:id="36" w:name="_Toc57039420"/>
      <w:r>
        <w:t xml:space="preserve">2.3. </w:t>
      </w:r>
      <w:r w:rsidR="002A3357" w:rsidRPr="002A3357">
        <w:t>Dosage</w:t>
      </w:r>
      <w:bookmarkEnd w:id="36"/>
    </w:p>
    <w:p w14:paraId="374EBB58" w14:textId="68E40ED5" w:rsidR="004F7E8F" w:rsidRDefault="001761F7" w:rsidP="00F609D7">
      <w:bookmarkStart w:id="37" w:name="_Hlk172708032"/>
      <w:r w:rsidRPr="001761F7">
        <w:t>Comirnaty JN.1 30 micrograms/dose dispersion for injection COVID-19 mRNA Vaccine</w:t>
      </w:r>
      <w:r w:rsidR="00022C57">
        <w:t xml:space="preserve"> </w:t>
      </w:r>
      <w:bookmarkEnd w:id="37"/>
      <w:r w:rsidR="00641FC2">
        <w:t>dose is 0.3ml</w:t>
      </w:r>
      <w:r w:rsidR="007E6720">
        <w:t>.</w:t>
      </w:r>
    </w:p>
    <w:p w14:paraId="133FA4D3" w14:textId="0A5CC945" w:rsidR="006E018E" w:rsidRDefault="00D51A32" w:rsidP="006E018E">
      <w:r w:rsidRPr="00D51A32">
        <w:t xml:space="preserve">Spikevax JN.1 COVID-19 mRNA Vaccine </w:t>
      </w:r>
      <w:r w:rsidR="00006D77" w:rsidRPr="00006D77">
        <w:t xml:space="preserve">dispersion for injection </w:t>
      </w:r>
      <w:r w:rsidR="007A4668" w:rsidRPr="007A4668">
        <w:t>dose is 0.5ml</w:t>
      </w:r>
      <w:r w:rsidR="001F3CA9">
        <w:t>.</w:t>
      </w:r>
    </w:p>
    <w:p w14:paraId="230AFEBD" w14:textId="75A509A5" w:rsidR="006E018E" w:rsidRDefault="006E018E" w:rsidP="006E018E">
      <w:pPr>
        <w:pStyle w:val="NormalH2"/>
      </w:pPr>
      <w:r>
        <w:t>2.4. Frequency</w:t>
      </w:r>
    </w:p>
    <w:p w14:paraId="0CFF244D" w14:textId="77777777" w:rsidR="002E0C0C" w:rsidRPr="00540346" w:rsidRDefault="002101D4" w:rsidP="005471D1">
      <w:pPr>
        <w:rPr>
          <w:bCs/>
        </w:rPr>
      </w:pPr>
      <w:r w:rsidRPr="00540346">
        <w:rPr>
          <w:bCs/>
        </w:rPr>
        <w:t xml:space="preserve">A single dose </w:t>
      </w:r>
      <w:r w:rsidR="007209E8" w:rsidRPr="00540346">
        <w:rPr>
          <w:bCs/>
        </w:rPr>
        <w:t>regardless of prior COVID-19 vaccination status</w:t>
      </w:r>
      <w:r w:rsidR="002E0C0C" w:rsidRPr="00540346">
        <w:rPr>
          <w:bCs/>
        </w:rPr>
        <w:t>.</w:t>
      </w:r>
    </w:p>
    <w:p w14:paraId="3E6F0536" w14:textId="37B4EEFD" w:rsidR="00B15C1B" w:rsidRDefault="005471D1" w:rsidP="002F15FF">
      <w:pPr>
        <w:rPr>
          <w:bCs/>
        </w:rPr>
      </w:pPr>
      <w:r w:rsidRPr="00540346">
        <w:rPr>
          <w:bCs/>
        </w:rPr>
        <w:t xml:space="preserve">For individuals who have previously been vaccinated with a COVID-19 vaccine, </w:t>
      </w:r>
      <w:r w:rsidR="002E0C0C" w:rsidRPr="00540346">
        <w:rPr>
          <w:bCs/>
        </w:rPr>
        <w:t xml:space="preserve">the dose should be given at least three months (12 weeks) after </w:t>
      </w:r>
      <w:r w:rsidR="00B15C1B" w:rsidRPr="00540346">
        <w:rPr>
          <w:bCs/>
        </w:rPr>
        <w:t xml:space="preserve">the </w:t>
      </w:r>
      <w:r w:rsidR="002E0C0C" w:rsidRPr="00540346">
        <w:rPr>
          <w:bCs/>
        </w:rPr>
        <w:t>previous dose of COVID-19 vaccine (regardless of the vaccine given for the previous dose).</w:t>
      </w:r>
    </w:p>
    <w:p w14:paraId="061FABEB" w14:textId="3E9392AE" w:rsidR="000B7B77" w:rsidRDefault="000B7B77" w:rsidP="002F15FF">
      <w:pPr>
        <w:rPr>
          <w:bCs/>
        </w:rPr>
      </w:pPr>
      <w:r w:rsidRPr="000B7B77">
        <w:rPr>
          <w:bCs/>
        </w:rPr>
        <w:t>The only exception to the three months interval would be where individuals were about to receive or increase the intensity of an immunosuppressive treatment, and therefore a better response would be made if immunised prior to that treatment commencing. In this unusual scenario, the interval for all vaccine products may be reduced to a minimum of three weeks.</w:t>
      </w:r>
    </w:p>
    <w:p w14:paraId="2A1C0B71" w14:textId="60B3ED36" w:rsidR="00FE5291" w:rsidRDefault="00C63C2F" w:rsidP="002F15FF">
      <w:r>
        <w:rPr>
          <w:bCs/>
        </w:rPr>
        <w:t xml:space="preserve">Additional doses </w:t>
      </w:r>
      <w:r w:rsidR="00737B9E">
        <w:rPr>
          <w:bCs/>
        </w:rPr>
        <w:t>f</w:t>
      </w:r>
      <w:r w:rsidR="00FE5291" w:rsidRPr="00FE5291">
        <w:rPr>
          <w:bCs/>
        </w:rPr>
        <w:t xml:space="preserve">or those identified as meeting the definition for severe immunosuppression (as defined in Green Book </w:t>
      </w:r>
      <w:hyperlink r:id="rId33" w:history="1">
        <w:r w:rsidR="00FE5291" w:rsidRPr="00FE5291">
          <w:rPr>
            <w:rStyle w:val="Hyperlink"/>
          </w:rPr>
          <w:t>Ch</w:t>
        </w:r>
        <w:r w:rsidR="00FE5291" w:rsidRPr="00FE5291">
          <w:rPr>
            <w:rStyle w:val="Hyperlink"/>
          </w:rPr>
          <w:t>a</w:t>
        </w:r>
        <w:r w:rsidR="00FE5291" w:rsidRPr="00FE5291">
          <w:rPr>
            <w:rStyle w:val="Hyperlink"/>
          </w:rPr>
          <w:t>pter 14a</w:t>
        </w:r>
      </w:hyperlink>
      <w:r w:rsidR="00FE5291" w:rsidRPr="00FE5291">
        <w:rPr>
          <w:b/>
          <w:bCs/>
        </w:rPr>
        <w:t>)</w:t>
      </w:r>
      <w:r w:rsidR="00B771A3">
        <w:rPr>
          <w:b/>
          <w:bCs/>
        </w:rPr>
        <w:t xml:space="preserve"> </w:t>
      </w:r>
      <w:r w:rsidR="0057685D">
        <w:t xml:space="preserve">may be </w:t>
      </w:r>
      <w:r w:rsidR="008F10F1">
        <w:t>required.</w:t>
      </w:r>
    </w:p>
    <w:p w14:paraId="35959C77" w14:textId="69941966" w:rsidR="00505A9A" w:rsidRPr="00FC11B3" w:rsidRDefault="00505A9A" w:rsidP="002F15FF">
      <w:pPr>
        <w:rPr>
          <w:bCs/>
        </w:rPr>
      </w:pPr>
      <w:r w:rsidRPr="00006D77">
        <w:rPr>
          <w:bCs/>
        </w:rPr>
        <w:t>From 2023, for</w:t>
      </w:r>
      <w:r w:rsidRPr="00540346">
        <w:rPr>
          <w:bCs/>
        </w:rPr>
        <w:t xml:space="preserve"> most individuals aged 5 years and above, the primary course of COVID-19 vaccine is an offer of a single dose of vaccine, provided only during </w:t>
      </w:r>
      <w:r w:rsidRPr="00540346">
        <w:rPr>
          <w:bCs/>
        </w:rPr>
        <w:lastRenderedPageBreak/>
        <w:t>seasonal campaigns. Individuals who become or have recently become severely immunosuppressed (i.e. those commencing immunosuppressive therapy or those who have developed an immunosuppressive condition) should be considered for additional doses (as outlined below).</w:t>
      </w:r>
    </w:p>
    <w:p w14:paraId="60AC78F2" w14:textId="014526AA" w:rsidR="000C5E81" w:rsidRDefault="008F10F1" w:rsidP="002F15FF">
      <w:r w:rsidRPr="008F10F1">
        <w:t xml:space="preserve">Previously unvaccinated individuals who become or have recently become severely immunosuppressed should be considered for a first dose of vaccination, regardless of the time of year. </w:t>
      </w:r>
      <w:r w:rsidR="005607D3">
        <w:rPr>
          <w:bCs/>
        </w:rPr>
        <w:t>F</w:t>
      </w:r>
      <w:r w:rsidR="005607D3" w:rsidRPr="005607D3">
        <w:rPr>
          <w:bCs/>
        </w:rPr>
        <w:t xml:space="preserve">urther doses should then be offered on the basis of specialist clinical </w:t>
      </w:r>
      <w:r w:rsidR="00EB00A4" w:rsidRPr="005607D3">
        <w:rPr>
          <w:bCs/>
        </w:rPr>
        <w:t>judgement</w:t>
      </w:r>
      <w:r w:rsidR="005607D3" w:rsidRPr="005607D3">
        <w:rPr>
          <w:bCs/>
        </w:rPr>
        <w:t xml:space="preserve"> (see below)</w:t>
      </w:r>
      <w:r w:rsidR="00623518">
        <w:rPr>
          <w:bCs/>
        </w:rPr>
        <w:t>.</w:t>
      </w:r>
    </w:p>
    <w:p w14:paraId="6CB8A47F" w14:textId="52776D2C" w:rsidR="005E75B9" w:rsidRDefault="008F10F1" w:rsidP="002F15FF">
      <w:r w:rsidRPr="008F10F1">
        <w:t>Vaccinated individuals who become or have recently become severely immunosuppressed should be considered for an additional dose of COVID-19 vaccine, regardless of their past vaccination history and the time of year. The additional dose of vaccine should be offered at a minimum interval of three months from any previous doses, to extend protection until the next seasonal campaign.</w:t>
      </w:r>
    </w:p>
    <w:p w14:paraId="69C9A293" w14:textId="77777777" w:rsidR="00EB00A4" w:rsidRDefault="00E8568E" w:rsidP="002F15FF">
      <w:r w:rsidRPr="00E8568E">
        <w:t xml:space="preserve">Clinical judgement should be used to decide which individuals should be given an additional dose soon after their diagnosis rather than waiting for the next campaign and thus getting extra protection during the season, particularly over the winter, and at the same time as other high risk groups. The optimal timing should also take account of the degree of immune suppression (see </w:t>
      </w:r>
      <w:r w:rsidR="00875180" w:rsidRPr="00875180">
        <w:t xml:space="preserve">Green Book </w:t>
      </w:r>
      <w:hyperlink r:id="rId34">
        <w:r w:rsidR="6C17A18D" w:rsidRPr="0184682A">
          <w:rPr>
            <w:rStyle w:val="Hyperlink"/>
          </w:rPr>
          <w:t>Chapter 14a</w:t>
        </w:r>
      </w:hyperlink>
      <w:r w:rsidR="00875180">
        <w:t xml:space="preserve"> </w:t>
      </w:r>
      <w:r w:rsidRPr="00E8568E">
        <w:t xml:space="preserve">section on timing). </w:t>
      </w:r>
      <w:r w:rsidR="001F2FFD">
        <w:t>Second doses should ideally be given between 8-12 weeks from the previous dose, to extend protection. This interval may be reduced to three weeks on specialist clinical advice to maximise short term protection, bearing in mind that response may be less durable. As above, subsequent doses may be optimally delivered during the next regular campaign.</w:t>
      </w:r>
      <w:r w:rsidR="001B5F74">
        <w:t xml:space="preserve"> </w:t>
      </w:r>
    </w:p>
    <w:p w14:paraId="22853480" w14:textId="1F7F1808" w:rsidR="00FF4EAA" w:rsidRDefault="00FF4EAA" w:rsidP="002F15FF">
      <w:r w:rsidRPr="00540346">
        <w:t>In contrast to other eligible risk groups, those who are eligible for a vaccination due to severe immunosuppression but miss vaccination during the campaign period, may be considered for a booster at a later date based on individual clinical judgement, balancing their immediate level of risk against the advantages of waiting till the next seasonal campaign.</w:t>
      </w:r>
    </w:p>
    <w:p w14:paraId="730241F7" w14:textId="76DCDA01" w:rsidR="0007738B" w:rsidRDefault="001E3E2D" w:rsidP="002F15FF">
      <w:r>
        <w:t>Additional</w:t>
      </w:r>
      <w:r w:rsidR="0007738B" w:rsidRPr="0007738B">
        <w:t xml:space="preserve"> doses</w:t>
      </w:r>
      <w:r w:rsidR="0007738B">
        <w:t xml:space="preserve"> are covered by this PGD.</w:t>
      </w:r>
    </w:p>
    <w:p w14:paraId="611740ED" w14:textId="77777777" w:rsidR="006E018E" w:rsidRDefault="006E018E" w:rsidP="00F80922">
      <w:pPr>
        <w:pStyle w:val="paragraph"/>
        <w:spacing w:before="0" w:beforeAutospacing="0" w:after="0" w:afterAutospacing="0"/>
        <w:textAlignment w:val="baseline"/>
        <w:rPr>
          <w:rStyle w:val="normaltextrun"/>
          <w:rFonts w:ascii="Arial" w:hAnsi="Arial" w:cs="Arial"/>
          <w:sz w:val="28"/>
          <w:szCs w:val="28"/>
        </w:rPr>
      </w:pPr>
    </w:p>
    <w:p w14:paraId="1B59157B" w14:textId="5422B982" w:rsidR="00F80922" w:rsidRPr="005942CC" w:rsidRDefault="00F80922" w:rsidP="005942CC">
      <w:pPr>
        <w:pStyle w:val="NormalH3"/>
      </w:pPr>
      <w:r w:rsidRPr="005942CC">
        <w:lastRenderedPageBreak/>
        <w:t>Revaccination of individuals who have received a haemopoietic stem cell transplant </w:t>
      </w:r>
    </w:p>
    <w:p w14:paraId="2EC8F643" w14:textId="77777777" w:rsidR="00F80922" w:rsidRDefault="00F80922" w:rsidP="00F80922">
      <w:pPr>
        <w:pStyle w:val="paragraph"/>
        <w:spacing w:before="0" w:beforeAutospacing="0" w:after="0" w:afterAutospacing="0"/>
        <w:textAlignment w:val="baseline"/>
        <w:rPr>
          <w:rFonts w:ascii="Segoe UI" w:hAnsi="Segoe UI" w:cs="Segoe UI"/>
          <w:b/>
          <w:bCs/>
          <w:sz w:val="18"/>
          <w:szCs w:val="18"/>
        </w:rPr>
      </w:pPr>
    </w:p>
    <w:p w14:paraId="4B6B4DF8" w14:textId="71A8C368" w:rsidR="1C78CC6D" w:rsidRDefault="00F80922" w:rsidP="00EB00A4">
      <w:pPr>
        <w:pStyle w:val="paragraph"/>
        <w:spacing w:before="0" w:beforeAutospacing="0" w:after="0" w:afterAutospacing="0" w:line="360" w:lineRule="auto"/>
        <w:textAlignment w:val="baseline"/>
      </w:pPr>
      <w:r>
        <w:rPr>
          <w:rStyle w:val="normaltextrun"/>
          <w:rFonts w:ascii="Arial" w:hAnsi="Arial" w:cs="Arial"/>
        </w:rPr>
        <w:t xml:space="preserve">In accordance with the schedule recommended by the Scottish Haematology Society </w:t>
      </w:r>
      <w:hyperlink r:id="rId35" w:tgtFrame="_blank" w:history="1">
        <w:r>
          <w:rPr>
            <w:rStyle w:val="normaltextrun"/>
            <w:rFonts w:ascii="Arial" w:hAnsi="Arial" w:cs="Arial"/>
            <w:b/>
            <w:bCs/>
            <w:color w:val="43358B"/>
          </w:rPr>
          <w:t>Revaccination of patients followi</w:t>
        </w:r>
        <w:r>
          <w:rPr>
            <w:rStyle w:val="normaltextrun"/>
            <w:rFonts w:ascii="Arial" w:hAnsi="Arial" w:cs="Arial"/>
            <w:b/>
            <w:bCs/>
            <w:color w:val="43358B"/>
          </w:rPr>
          <w:t>n</w:t>
        </w:r>
        <w:r>
          <w:rPr>
            <w:rStyle w:val="normaltextrun"/>
            <w:rFonts w:ascii="Arial" w:hAnsi="Arial" w:cs="Arial"/>
            <w:b/>
            <w:bCs/>
            <w:color w:val="43358B"/>
          </w:rPr>
          <w:t>g haematopoietic stem cell transplant or CAR-T treatment</w:t>
        </w:r>
      </w:hyperlink>
      <w:r>
        <w:rPr>
          <w:rStyle w:val="normaltextrun"/>
          <w:rFonts w:ascii="Arial" w:hAnsi="Arial" w:cs="Arial"/>
          <w:b/>
          <w:bCs/>
          <w:color w:val="43358B"/>
        </w:rPr>
        <w:t>.</w:t>
      </w:r>
      <w:r>
        <w:rPr>
          <w:rStyle w:val="eop"/>
          <w:rFonts w:ascii="Arial" w:hAnsi="Arial" w:cs="Arial"/>
          <w:color w:val="43358B"/>
        </w:rPr>
        <w:t> </w:t>
      </w:r>
    </w:p>
    <w:p w14:paraId="2F3AC029" w14:textId="41CC1CF8" w:rsidR="002A3357" w:rsidRDefault="003431FF" w:rsidP="007F2AC1">
      <w:pPr>
        <w:pStyle w:val="NormalH2"/>
      </w:pPr>
      <w:bookmarkStart w:id="38" w:name="_Toc57039422"/>
      <w:r>
        <w:t xml:space="preserve">2.5. </w:t>
      </w:r>
      <w:r w:rsidR="002A3357" w:rsidRPr="002A3357">
        <w:t>Duration of treatment</w:t>
      </w:r>
      <w:bookmarkEnd w:id="38"/>
    </w:p>
    <w:p w14:paraId="4E8028BD" w14:textId="35C05CFC" w:rsidR="00454C95" w:rsidRDefault="00454C95" w:rsidP="00454C95">
      <w:r>
        <w:t>See frequency section.</w:t>
      </w:r>
    </w:p>
    <w:p w14:paraId="7BEAB9EF" w14:textId="2FBC0F4E" w:rsidR="002A3357" w:rsidRDefault="003431FF" w:rsidP="007F2AC1">
      <w:pPr>
        <w:pStyle w:val="NormalH2"/>
      </w:pPr>
      <w:bookmarkStart w:id="39" w:name="_Toc57039423"/>
      <w:r>
        <w:t xml:space="preserve">2.6. </w:t>
      </w:r>
      <w:r w:rsidR="002A3357" w:rsidRPr="002A3357">
        <w:t>Maximum or minimum treatment period</w:t>
      </w:r>
      <w:bookmarkEnd w:id="39"/>
    </w:p>
    <w:p w14:paraId="2FC640CC" w14:textId="490325B1" w:rsidR="00750EBD" w:rsidRDefault="00454C95" w:rsidP="00641FC2">
      <w:r>
        <w:t>See frequency section.</w:t>
      </w:r>
      <w:bookmarkStart w:id="40" w:name="_Toc57039424"/>
    </w:p>
    <w:p w14:paraId="76EC0C3E" w14:textId="56344EF7" w:rsidR="002A3357" w:rsidRDefault="003431FF" w:rsidP="003431FF">
      <w:pPr>
        <w:pStyle w:val="NormalH2"/>
      </w:pPr>
      <w:r>
        <w:t xml:space="preserve">2.7. </w:t>
      </w:r>
      <w:r w:rsidR="002A3357" w:rsidRPr="002A3357">
        <w:t>Quantity to supply/administer</w:t>
      </w:r>
      <w:bookmarkEnd w:id="40"/>
    </w:p>
    <w:p w14:paraId="23B072D0" w14:textId="78AC67CC" w:rsidR="00454C95" w:rsidRDefault="00454C95" w:rsidP="00454C95">
      <w:r>
        <w:t>See frequency section.</w:t>
      </w:r>
    </w:p>
    <w:p w14:paraId="589EA1A1" w14:textId="0916FB4B" w:rsidR="002A3357" w:rsidRDefault="003431FF" w:rsidP="003431FF">
      <w:pPr>
        <w:pStyle w:val="NormalH2"/>
      </w:pPr>
      <w:bookmarkStart w:id="41" w:name="_Toc57039425"/>
      <w:r>
        <w:t xml:space="preserve">2.8. </w:t>
      </w:r>
      <w:r w:rsidR="002A3357" w:rsidRPr="002A3357">
        <w:t>▼ black triangle medicines</w:t>
      </w:r>
      <w:bookmarkEnd w:id="41"/>
    </w:p>
    <w:p w14:paraId="3703EB44" w14:textId="77777777" w:rsidR="00454C95" w:rsidRPr="00ED590C" w:rsidRDefault="00454C95" w:rsidP="00454C95">
      <w:r w:rsidRPr="00ED590C">
        <w:t>Yes</w:t>
      </w:r>
      <w:r>
        <w:t>.</w:t>
      </w:r>
    </w:p>
    <w:p w14:paraId="2C655982" w14:textId="3B7B542A" w:rsidR="00454C95" w:rsidRDefault="005461F9" w:rsidP="00454C95">
      <w:r>
        <w:t xml:space="preserve">All COVID-19 vaccines are </w:t>
      </w:r>
      <w:r w:rsidR="00454C95" w:rsidRPr="00ED590C">
        <w:t>subject</w:t>
      </w:r>
      <w:r w:rsidR="00454C95">
        <w:t xml:space="preserve"> to additional monitoring and</w:t>
      </w:r>
      <w:r w:rsidR="00FA22B5">
        <w:t xml:space="preserve"> are</w:t>
      </w:r>
      <w:r w:rsidR="00454C95" w:rsidRPr="00ED590C">
        <w:t xml:space="preserve"> designated as ▼</w:t>
      </w:r>
    </w:p>
    <w:p w14:paraId="51B31B3A" w14:textId="392B4A13" w:rsidR="00454C95" w:rsidRDefault="00454C95" w:rsidP="001C373A">
      <w:r w:rsidRPr="0024573C">
        <w:t>Healthcare professionals and individuals/carers should report suspected adverse reactions to the Medicines and Healthcare products Regulatory Agency (MHRA) using the Yellow Card reporting scheme on</w:t>
      </w:r>
      <w:r w:rsidRPr="007C2DF4">
        <w:t xml:space="preserve"> </w:t>
      </w:r>
      <w:hyperlink r:id="rId36" w:history="1">
        <w:r w:rsidRPr="007C2DF4">
          <w:rPr>
            <w:rStyle w:val="Hyperlink"/>
          </w:rPr>
          <w:t>http://www.mhra.gov.uk/yellowcard</w:t>
        </w:r>
      </w:hyperlink>
    </w:p>
    <w:p w14:paraId="34DC21E2" w14:textId="77777777" w:rsidR="005942CC" w:rsidRDefault="005942CC">
      <w:pPr>
        <w:rPr>
          <w:b/>
          <w:color w:val="43358B"/>
          <w:sz w:val="32"/>
        </w:rPr>
      </w:pPr>
      <w:bookmarkStart w:id="42" w:name="_Toc57039426"/>
      <w:r>
        <w:br w:type="page"/>
      </w:r>
    </w:p>
    <w:p w14:paraId="58AB881C" w14:textId="5A4F722E" w:rsidR="002A3357" w:rsidRDefault="003431FF" w:rsidP="003431FF">
      <w:pPr>
        <w:pStyle w:val="NormalH2"/>
      </w:pPr>
      <w:r>
        <w:lastRenderedPageBreak/>
        <w:t xml:space="preserve">2.9. </w:t>
      </w:r>
      <w:r w:rsidR="002A3357" w:rsidRPr="002A3357">
        <w:t>Legal category</w:t>
      </w:r>
      <w:bookmarkEnd w:id="42"/>
    </w:p>
    <w:p w14:paraId="47918638" w14:textId="77777777" w:rsidR="006B56A9" w:rsidRPr="006B56A9" w:rsidRDefault="006B56A9" w:rsidP="006B56A9">
      <w:r w:rsidRPr="006B56A9">
        <w:rPr>
          <w:rFonts w:eastAsia="Calibri" w:cs="Times New Roman"/>
        </w:rPr>
        <w:t>Prescription only medicine (POM).</w:t>
      </w:r>
    </w:p>
    <w:p w14:paraId="34D6E956" w14:textId="7D7A02E1" w:rsidR="002A3357" w:rsidRDefault="003431FF" w:rsidP="003431FF">
      <w:pPr>
        <w:pStyle w:val="NormalH2"/>
      </w:pPr>
      <w:bookmarkStart w:id="43" w:name="_Toc57039427"/>
      <w:r>
        <w:t xml:space="preserve">2.10. </w:t>
      </w:r>
      <w:r w:rsidR="002A3357" w:rsidRPr="002A3357">
        <w:t xml:space="preserve">Is the use </w:t>
      </w:r>
      <w:proofErr w:type="spellStart"/>
      <w:r w:rsidR="002A3357" w:rsidRPr="002A3357">
        <w:t>outwith</w:t>
      </w:r>
      <w:proofErr w:type="spellEnd"/>
      <w:r w:rsidR="002A3357" w:rsidRPr="002A3357">
        <w:t xml:space="preserve"> the S</w:t>
      </w:r>
      <w:r w:rsidR="00053378">
        <w:t>m</w:t>
      </w:r>
      <w:r w:rsidR="002A3357" w:rsidRPr="002A3357">
        <w:t>PC</w:t>
      </w:r>
      <w:bookmarkEnd w:id="43"/>
      <w:r w:rsidR="002A3357" w:rsidRPr="002A3357">
        <w:t>?</w:t>
      </w:r>
    </w:p>
    <w:p w14:paraId="78EABB6D" w14:textId="2ADCBF7A" w:rsidR="000868FF" w:rsidRDefault="000868FF" w:rsidP="000868FF">
      <w:r w:rsidRPr="00B64FF0">
        <w:t xml:space="preserve">The vaccine marketing authorisation holder’s </w:t>
      </w:r>
      <w:r>
        <w:t>SmPC</w:t>
      </w:r>
      <w:r w:rsidR="00776261" w:rsidRPr="00776261">
        <w:rPr>
          <w:color w:val="262626"/>
          <w:szCs w:val="24"/>
        </w:rPr>
        <w:t xml:space="preserve"> </w:t>
      </w:r>
      <w:r w:rsidR="00776261">
        <w:rPr>
          <w:color w:val="262626"/>
          <w:szCs w:val="24"/>
        </w:rPr>
        <w:t xml:space="preserve">for </w:t>
      </w:r>
      <w:r w:rsidR="00776261" w:rsidRPr="00FB7B0F">
        <w:rPr>
          <w:rFonts w:cs="Times New Roman"/>
        </w:rPr>
        <w:t xml:space="preserve">Comirnaty JN.1 30 micrograms/dose dispersion for injection COVID-19 mRNA </w:t>
      </w:r>
      <w:r w:rsidR="00BE226C">
        <w:rPr>
          <w:rFonts w:cs="Times New Roman"/>
        </w:rPr>
        <w:t>v</w:t>
      </w:r>
      <w:r w:rsidR="00776261" w:rsidRPr="00FB7B0F">
        <w:rPr>
          <w:rFonts w:cs="Times New Roman"/>
        </w:rPr>
        <w:t>accine</w:t>
      </w:r>
      <w:r>
        <w:t xml:space="preserve"> </w:t>
      </w:r>
      <w:r w:rsidRPr="00B64FF0">
        <w:t xml:space="preserve">states that </w:t>
      </w:r>
      <w:r w:rsidR="00B64184">
        <w:br/>
      </w:r>
      <w:r w:rsidRPr="00B64FF0">
        <w:t>close observation for at least 15 minutes is recommended following vaccination.</w:t>
      </w:r>
      <w:r w:rsidR="00ED56CB">
        <w:t xml:space="preserve"> </w:t>
      </w:r>
      <w:r w:rsidR="00B64184">
        <w:br/>
      </w:r>
      <w:r w:rsidRPr="00B64FF0">
        <w:t xml:space="preserve">In recognition of the need to accelerate delivery of the programme in response to </w:t>
      </w:r>
      <w:r w:rsidR="00B64184">
        <w:br/>
      </w:r>
      <w:r w:rsidRPr="00B64FF0">
        <w:t xml:space="preserve">the emergence of the Omicron variant, the UK Chief Medical Officers recommended temporary suspension of this requirement. This temporary suspension in individuals without a history of allergy </w:t>
      </w:r>
      <w:r w:rsidR="00172BF7">
        <w:t>w</w:t>
      </w:r>
      <w:r w:rsidRPr="00B64FF0">
        <w:t>as also agreed by the Commission on Human Medicines</w:t>
      </w:r>
      <w:r>
        <w:t xml:space="preserve">. </w:t>
      </w:r>
      <w:r w:rsidR="00E20567">
        <w:t xml:space="preserve">The advice to suspend the routine 15 minute observation period </w:t>
      </w:r>
      <w:r w:rsidR="00B64184">
        <w:br/>
      </w:r>
      <w:r w:rsidR="00E20567">
        <w:t xml:space="preserve">applies to all the currently available COVID-19 vaccines, including the </w:t>
      </w:r>
      <w:r w:rsidR="0084656B">
        <w:t xml:space="preserve">variant </w:t>
      </w:r>
      <w:r w:rsidR="00B64184">
        <w:br/>
      </w:r>
      <w:r w:rsidR="00E20567">
        <w:t>mRNA produ</w:t>
      </w:r>
      <w:r w:rsidR="00E20567" w:rsidRPr="002E4D96">
        <w:t>cts</w:t>
      </w:r>
      <w:r w:rsidR="005078DC" w:rsidRPr="002E4D96">
        <w:t>.</w:t>
      </w:r>
    </w:p>
    <w:p w14:paraId="46CA91D3" w14:textId="342B7A4B" w:rsidR="004D05B5" w:rsidRPr="00EB00A4" w:rsidRDefault="004D05B5" w:rsidP="000868FF">
      <w:r w:rsidRPr="00EB00A4">
        <w:rPr>
          <w:rStyle w:val="normaltextrun"/>
          <w:rFonts w:cs="Arial"/>
          <w:shd w:val="clear" w:color="auto" w:fill="FFFFFF"/>
        </w:rPr>
        <w:t>Revaccination of patients following haematopoietic stem cell transplant of CAR-T treatment is considered off-label but is in accordance with the</w:t>
      </w:r>
      <w:r w:rsidRPr="00285FD7">
        <w:rPr>
          <w:rStyle w:val="Hyperlink"/>
        </w:rPr>
        <w:t xml:space="preserve"> </w:t>
      </w:r>
      <w:hyperlink r:id="rId37" w:tgtFrame="_blank" w:history="1">
        <w:r w:rsidRPr="00285FD7">
          <w:rPr>
            <w:rStyle w:val="Hyperlink"/>
          </w:rPr>
          <w:t>Scot</w:t>
        </w:r>
        <w:r w:rsidRPr="00285FD7">
          <w:rPr>
            <w:rStyle w:val="Hyperlink"/>
          </w:rPr>
          <w:t>t</w:t>
        </w:r>
        <w:r w:rsidRPr="00285FD7">
          <w:rPr>
            <w:rStyle w:val="Hyperlink"/>
          </w:rPr>
          <w:t>ish Haematology Society schedule</w:t>
        </w:r>
      </w:hyperlink>
      <w:r w:rsidRPr="00EB00A4">
        <w:rPr>
          <w:rStyle w:val="normaltextrun"/>
          <w:rFonts w:cs="Arial"/>
          <w:shd w:val="clear" w:color="auto" w:fill="FFFFFF"/>
        </w:rPr>
        <w:t>.</w:t>
      </w:r>
      <w:r w:rsidRPr="00EB00A4">
        <w:rPr>
          <w:rStyle w:val="eop"/>
          <w:rFonts w:cs="Arial"/>
          <w:shd w:val="clear" w:color="auto" w:fill="FFFFFF"/>
        </w:rPr>
        <w:t> </w:t>
      </w:r>
    </w:p>
    <w:p w14:paraId="5474BCD9" w14:textId="1B40CCD4" w:rsidR="001C373A" w:rsidRDefault="000868FF" w:rsidP="000868FF">
      <w:r>
        <w:t>Vaccine should be stored according to the conditions detailed in the Storage section below. However, in the event of an inadvertent or unavoidable deviation of these conditions refer to N</w:t>
      </w:r>
      <w:r w:rsidRPr="00AD10A5">
        <w:t>ational Vaccine Incident Guidance. Where vaccine is assessed in accordance with these guidelines as appropriate for continued use this would constitute off-label administration under this PGD.</w:t>
      </w:r>
    </w:p>
    <w:p w14:paraId="4CEDD86D" w14:textId="26DB6D97" w:rsidR="000459BB" w:rsidRDefault="003431FF" w:rsidP="003431FF">
      <w:pPr>
        <w:pStyle w:val="NormalH2"/>
      </w:pPr>
      <w:bookmarkStart w:id="44" w:name="_Toc57039428"/>
      <w:r>
        <w:t>2.11</w:t>
      </w:r>
      <w:r w:rsidR="00817A4C">
        <w:t>.</w:t>
      </w:r>
      <w:r>
        <w:t xml:space="preserve"> </w:t>
      </w:r>
      <w:r w:rsidR="002A3357" w:rsidRPr="002A3357">
        <w:t>Storage requirements</w:t>
      </w:r>
      <w:bookmarkEnd w:id="44"/>
    </w:p>
    <w:p w14:paraId="4BBC0F7E" w14:textId="77777777" w:rsidR="002A1BC6" w:rsidRPr="00B43541" w:rsidRDefault="002A1BC6" w:rsidP="00B43541">
      <w:pPr>
        <w:pStyle w:val="NormalH3"/>
      </w:pPr>
      <w:r w:rsidRPr="00B43541">
        <w:t>General requirements</w:t>
      </w:r>
    </w:p>
    <w:p w14:paraId="55D73794" w14:textId="77777777" w:rsidR="007F0C8D" w:rsidRDefault="007F0C8D" w:rsidP="007F0C8D">
      <w:r>
        <w:t>During storage it is recommended that the vials are stored in the original packaging/cartons, away from direct sunlight to protect from light and kept upright.</w:t>
      </w:r>
    </w:p>
    <w:p w14:paraId="3C7C1915" w14:textId="77777777" w:rsidR="007F0C8D" w:rsidRDefault="007F0C8D" w:rsidP="007F0C8D">
      <w:r>
        <w:lastRenderedPageBreak/>
        <w:t>NHS Board guidance on Storage and Handling of vaccines should be observed.</w:t>
      </w:r>
    </w:p>
    <w:p w14:paraId="1CBAFF3F" w14:textId="7FDB1F2E" w:rsidR="007F0C8D" w:rsidRDefault="007F0C8D" w:rsidP="007F0C8D">
      <w:r>
        <w:t>In the event of an inadvertent or unavoidable deviation of these conditions, vaccine that has been stored outside the conditions stated above should be quarantined and risk assessed for suitability of continued use or appropriate disposal.</w:t>
      </w:r>
    </w:p>
    <w:p w14:paraId="33C1C973" w14:textId="4FBCBD5A" w:rsidR="007F0C8D" w:rsidRDefault="007F0C8D" w:rsidP="007F0C8D">
      <w:r w:rsidRPr="007F0C8D">
        <w:t xml:space="preserve">The manufacturer may advise of updated storage requirements and product stability: as new data becomes </w:t>
      </w:r>
      <w:proofErr w:type="gramStart"/>
      <w:r w:rsidRPr="007F0C8D">
        <w:t>available,</w:t>
      </w:r>
      <w:proofErr w:type="gramEnd"/>
      <w:r w:rsidRPr="007F0C8D">
        <w:t xml:space="preserve"> vaccine </w:t>
      </w:r>
      <w:r w:rsidR="002119C9">
        <w:t>should</w:t>
      </w:r>
      <w:r w:rsidRPr="007F0C8D">
        <w:t xml:space="preserve"> be stored in accordance with updated recommendations from the manufacturer.</w:t>
      </w:r>
    </w:p>
    <w:p w14:paraId="6590817E" w14:textId="18592FFE" w:rsidR="002A1BC6" w:rsidRDefault="002A1BC6" w:rsidP="00B43541">
      <w:pPr>
        <w:pStyle w:val="NormalH3"/>
      </w:pPr>
      <w:r w:rsidRPr="007F0C8D">
        <w:t>Vaccine specific requirements</w:t>
      </w:r>
    </w:p>
    <w:p w14:paraId="18341D1E" w14:textId="77777777" w:rsidR="00C05BA4" w:rsidRDefault="00022C57" w:rsidP="004C1AAE">
      <w:pPr>
        <w:rPr>
          <w:rStyle w:val="Bold"/>
          <w:sz w:val="28"/>
          <w:szCs w:val="28"/>
        </w:rPr>
      </w:pPr>
      <w:r w:rsidRPr="00022C57">
        <w:rPr>
          <w:rStyle w:val="Bold"/>
          <w:sz w:val="28"/>
          <w:szCs w:val="28"/>
        </w:rPr>
        <w:t xml:space="preserve">Comirnaty JN.1 30 micrograms/dose dispersion for injection COVID-19 mRNA Vaccine </w:t>
      </w:r>
    </w:p>
    <w:p w14:paraId="047101FE" w14:textId="487A55A3" w:rsidR="004C1AAE" w:rsidRPr="006D630C" w:rsidRDefault="004C1AAE" w:rsidP="004C1AAE">
      <w:r w:rsidRPr="006D630C">
        <w:t>Once thawed, the vaccine may be stored refrigerated at +2°C to +8°C protected from light for up to 10 weeks (within shelf life) if not used (needle-punctured). Once thawed the vaccine should not be re-frozen.</w:t>
      </w:r>
    </w:p>
    <w:p w14:paraId="7E6630B5" w14:textId="3AFA84BB" w:rsidR="004C1AAE" w:rsidRPr="006D630C" w:rsidRDefault="004C1AAE" w:rsidP="004C1AAE">
      <w:r w:rsidRPr="006D630C">
        <w:t>After first use – use as soon as practically possible and within 12 hours.</w:t>
      </w:r>
      <w:r w:rsidR="004A51CF">
        <w:t xml:space="preserve"> </w:t>
      </w:r>
      <w:r w:rsidRPr="006D630C">
        <w:t>The vaccine can be stored at +2°C to +30°C during the in-use time. Thawed vials can be handled in room light conditions.</w:t>
      </w:r>
    </w:p>
    <w:p w14:paraId="0EF399E7" w14:textId="31677BE0" w:rsidR="004C1AAE" w:rsidRDefault="004C1AAE" w:rsidP="004C1AAE">
      <w:r w:rsidRPr="006D630C">
        <w:t>The vaccine vial has space to write the date and time that the vial should be discarded following was first puncture; write this on the vial label.</w:t>
      </w:r>
    </w:p>
    <w:p w14:paraId="6ECEFCAC" w14:textId="23EF5077" w:rsidR="00C05BA4" w:rsidRDefault="00243D09" w:rsidP="00D73C95">
      <w:pPr>
        <w:rPr>
          <w:rStyle w:val="Bold"/>
          <w:sz w:val="28"/>
          <w:szCs w:val="28"/>
        </w:rPr>
      </w:pPr>
      <w:r w:rsidRPr="00243D09">
        <w:rPr>
          <w:rStyle w:val="Bold"/>
          <w:sz w:val="28"/>
          <w:szCs w:val="28"/>
        </w:rPr>
        <w:t xml:space="preserve">Spikevax JN.1 COVID-19 mRNA Vaccine </w:t>
      </w:r>
      <w:r w:rsidR="00B40708" w:rsidRPr="00B40708">
        <w:rPr>
          <w:rFonts w:cs="Arial"/>
          <w:b/>
          <w:sz w:val="28"/>
          <w:szCs w:val="28"/>
        </w:rPr>
        <w:t>dispersion for injection</w:t>
      </w:r>
    </w:p>
    <w:p w14:paraId="559D439E" w14:textId="32C29B5D" w:rsidR="00D73C95" w:rsidRPr="00D73C95" w:rsidRDefault="00D73C95" w:rsidP="00D73C95">
      <w:r w:rsidRPr="00D73C95">
        <w:t>Once thawed, the vaccine should not be re-frozen and may be stored refrigerated at +2°C to +8°C protected from light for up to 30 days if not used (needle-punctured).</w:t>
      </w:r>
    </w:p>
    <w:p w14:paraId="0D37E656" w14:textId="457CF9BE" w:rsidR="00D73C95" w:rsidRPr="00D73C95" w:rsidRDefault="00D73C95" w:rsidP="00D73C95">
      <w:r w:rsidRPr="00D73C95">
        <w:t xml:space="preserve">After first use – use as soon as practically possible and within six hours. The vaccine may be stored between +2 and +25°C during the in-use period in accordance with manufacturer’s advice. The vaccine has a transport time of </w:t>
      </w:r>
      <w:r w:rsidR="00247344">
        <w:t>36</w:t>
      </w:r>
      <w:r w:rsidRPr="00D73C95">
        <w:t xml:space="preserve"> hours at 2°C to 8°C</w:t>
      </w:r>
      <w:r w:rsidR="00247344">
        <w:t xml:space="preserve"> (</w:t>
      </w:r>
      <w:r w:rsidR="002F685F">
        <w:t>maximum of 30 hours by road and up to 6 hours by air)</w:t>
      </w:r>
      <w:r w:rsidRPr="00D73C95">
        <w:t>.</w:t>
      </w:r>
    </w:p>
    <w:p w14:paraId="288D984E" w14:textId="07CCA523" w:rsidR="00285FD7" w:rsidRDefault="00D73C95">
      <w:pPr>
        <w:rPr>
          <w:b/>
          <w:color w:val="43358B"/>
          <w:sz w:val="32"/>
        </w:rPr>
      </w:pPr>
      <w:r w:rsidRPr="00D73C95">
        <w:lastRenderedPageBreak/>
        <w:t>The vaccine vial has space to write the date and time that the vial should be discarded following first puncture; write this on the vial label.</w:t>
      </w:r>
      <w:bookmarkStart w:id="45" w:name="_Toc57039429"/>
    </w:p>
    <w:p w14:paraId="428FF8EE" w14:textId="33E9B9E7" w:rsidR="002A3357" w:rsidRDefault="003431FF" w:rsidP="003431FF">
      <w:pPr>
        <w:pStyle w:val="NormalH2"/>
      </w:pPr>
      <w:r>
        <w:t xml:space="preserve">2.12. </w:t>
      </w:r>
      <w:r w:rsidR="002A3357" w:rsidRPr="002A3357">
        <w:t>Additional information</w:t>
      </w:r>
      <w:bookmarkEnd w:id="45"/>
    </w:p>
    <w:p w14:paraId="3FBF5A81" w14:textId="77777777" w:rsidR="00074BD6" w:rsidRPr="005C2149" w:rsidRDefault="00074BD6" w:rsidP="00074BD6">
      <w:r w:rsidRPr="005C2149">
        <w:t>Minor illnesses without fever or systemic upset are not valid reasons to postpone immunisation. If an individual is acutely unwell, immunisation should be postponed until they have fully recovered.</w:t>
      </w:r>
    </w:p>
    <w:p w14:paraId="2AFFD970" w14:textId="77777777" w:rsidR="00074BD6" w:rsidRPr="005C2149" w:rsidRDefault="00074BD6" w:rsidP="00074BD6">
      <w:r w:rsidRPr="005C2149">
        <w:t>There is no</w:t>
      </w:r>
      <w:r>
        <w:t xml:space="preserve"> convincing</w:t>
      </w:r>
      <w:r w:rsidRPr="005C2149">
        <w:t xml:space="preserve"> evidence of any safety concerns from vaccinating individuals with a past history of COVID-19 infection, or with detectable COVID-19 antibody.</w:t>
      </w:r>
    </w:p>
    <w:p w14:paraId="580CC2F7" w14:textId="7A1AD5E4" w:rsidR="00B767B3" w:rsidRDefault="00074BD6" w:rsidP="00074BD6">
      <w:r w:rsidRPr="005C2149">
        <w:t xml:space="preserve">Having prolonged COVID-19 symptoms is not a contraindication to receiving </w:t>
      </w:r>
      <w:r w:rsidR="009F6CEE">
        <w:br/>
      </w:r>
      <w:r w:rsidRPr="005C2149">
        <w:t xml:space="preserve">COVID-19 vaccine but if the patient is seriously debilitated, still under active investigation, or has evidence of recent deterioration, deferral of vaccination </w:t>
      </w:r>
      <w:r w:rsidR="009F6CEE">
        <w:br/>
      </w:r>
      <w:r w:rsidRPr="005C2149">
        <w:t>may be considered to avoid incorrect attribution of any change in the person’s underlying condition to the vaccine.</w:t>
      </w:r>
      <w:r w:rsidR="00B767B3">
        <w:br w:type="page"/>
      </w:r>
    </w:p>
    <w:p w14:paraId="7CA0632E" w14:textId="77777777" w:rsidR="007639B5" w:rsidRDefault="007F2AC1" w:rsidP="007F2AC1">
      <w:pPr>
        <w:pStyle w:val="NormalH1"/>
      </w:pPr>
      <w:bookmarkStart w:id="46" w:name="_Toc124848778"/>
      <w:bookmarkStart w:id="47" w:name="_Toc193362805"/>
      <w:r>
        <w:lastRenderedPageBreak/>
        <w:t xml:space="preserve">3. </w:t>
      </w:r>
      <w:r w:rsidR="007639B5" w:rsidRPr="007639B5">
        <w:t>Adverse reactions</w:t>
      </w:r>
      <w:bookmarkEnd w:id="46"/>
      <w:bookmarkEnd w:id="47"/>
    </w:p>
    <w:p w14:paraId="3009D9AB" w14:textId="142DB657" w:rsidR="002A3357" w:rsidRDefault="003431FF" w:rsidP="003A275C">
      <w:pPr>
        <w:pStyle w:val="NormalH2"/>
      </w:pPr>
      <w:r w:rsidRPr="003A275C">
        <w:t>3.1</w:t>
      </w:r>
      <w:r w:rsidR="009D1F3E" w:rsidRPr="003A275C">
        <w:t>.</w:t>
      </w:r>
      <w:r w:rsidRPr="003A275C">
        <w:t xml:space="preserve"> </w:t>
      </w:r>
      <w:r w:rsidR="002A3357" w:rsidRPr="003A275C">
        <w:t>Warnings including possible adverse reactions and management of these</w:t>
      </w:r>
    </w:p>
    <w:p w14:paraId="71E4A53B" w14:textId="77777777" w:rsidR="00E80B8A" w:rsidRDefault="00E80B8A" w:rsidP="00E80B8A">
      <w:r>
        <w:t xml:space="preserve">The most frequently reported adverse reactions are injection site pain, swelling or redness, fatigue, headache, myalgia, chills, arthralgia, pyrexia, nausea, diarrhoea and vomiting. These reactions are usually mild or moderate in intensity and resolve within a few days after vaccination. </w:t>
      </w:r>
    </w:p>
    <w:p w14:paraId="1967A890" w14:textId="35860BB2" w:rsidR="00E622E9" w:rsidRDefault="00E622E9" w:rsidP="00E80B8A">
      <w:r w:rsidRPr="00E622E9">
        <w:t>Uncommon side effects include enlarged lymph nodes, feeling unwell, arm pain, insomnia, injection site itching, allergic reactions such as rash or itching, feeling weak or lack of energy/sleepy, decreased appetite, excessive sweating and night sweats.</w:t>
      </w:r>
    </w:p>
    <w:p w14:paraId="04B3C1F0" w14:textId="7440A6E7" w:rsidR="00E07E8A" w:rsidRDefault="00E07E8A" w:rsidP="00E07E8A">
      <w:r>
        <w:t>Lymphadenopathy</w:t>
      </w:r>
      <w:r w:rsidR="00034D49">
        <w:t xml:space="preserve">: </w:t>
      </w:r>
      <w:r>
        <w:t xml:space="preserve">Swollen axilla or neck glands on the same side as the vaccination site can occur as an uncommon reaction, which can last for up to 10 days. If the vaccine recipient is due to attend for a mammogram, they should be advised to inform clinicians regarding date of vaccine administration. </w:t>
      </w:r>
    </w:p>
    <w:p w14:paraId="1E4DAF74" w14:textId="5CA1791B" w:rsidR="00E07E8A" w:rsidRDefault="00E07E8A" w:rsidP="00E07E8A">
      <w:r>
        <w:t>Myocarditis and pericarditis</w:t>
      </w:r>
      <w:r w:rsidR="00034D49">
        <w:t xml:space="preserve">: </w:t>
      </w:r>
      <w:r>
        <w:t xml:space="preserve">Very rare reports of myocarditis and pericarditis have been observed following vaccination with </w:t>
      </w:r>
      <w:r w:rsidR="00521F1B">
        <w:t>mRNA COVID-19 vaccines.</w:t>
      </w:r>
      <w:r>
        <w:t xml:space="preserve"> These cases have primarily occurred within 14 days following vaccination, and more often in younger men. Available data suggest that the course of myocarditis and pericarditis following vaccination is not different from myocarditis or pericarditis in general. Healthcare professionals should be alert to the signs and symptoms of myocarditis and pericarditis. Recipients should be instructed to seek immediate medical attention if they develop symptoms indicative of myocarditis or pericarditis such as (acute and persisting) chest pain, shortness of breath or palpitations following vaccination. Healthcare professionals should consult guidance and/or specialists to diagnose and treat this condition. </w:t>
      </w:r>
    </w:p>
    <w:p w14:paraId="6BA3B035" w14:textId="2550B1C2" w:rsidR="00E80B8A" w:rsidRDefault="00E07E8A" w:rsidP="00E07E8A">
      <w:r>
        <w:t>Heavy menstrual bleeding has been reported after COVID-19 vaccination. In most cases, this is self-limiting.</w:t>
      </w:r>
    </w:p>
    <w:p w14:paraId="0EB2B6B6" w14:textId="627B25D7" w:rsidR="000837CF" w:rsidRDefault="000837CF" w:rsidP="00E07E8A">
      <w:r w:rsidRPr="000837CF">
        <w:lastRenderedPageBreak/>
        <w:t>Uncommonly, benign and self-limiting cases of Erythema Multiforme have been reported associated after vaccination</w:t>
      </w:r>
      <w:r w:rsidR="00597CD6">
        <w:t>.</w:t>
      </w:r>
    </w:p>
    <w:p w14:paraId="6981F347" w14:textId="3FA96301" w:rsidR="005E38DB" w:rsidRDefault="005E38DB" w:rsidP="005E38DB">
      <w:r>
        <w:t>In the event of a severe adverse reaction individual</w:t>
      </w:r>
      <w:r w:rsidR="004B4484">
        <w:t>s</w:t>
      </w:r>
      <w:r>
        <w:t xml:space="preserve"> should be advised to seek medical advice.</w:t>
      </w:r>
    </w:p>
    <w:p w14:paraId="38B8DFA7" w14:textId="6FFCE56D" w:rsidR="00074BD6" w:rsidRPr="00E17781" w:rsidRDefault="005E38DB" w:rsidP="00A33890">
      <w:r>
        <w:t>For full details/information on possible adverse reaction, refer to manufacturer’s product literature or SmPC.</w:t>
      </w:r>
    </w:p>
    <w:p w14:paraId="04F035A3" w14:textId="79166A44" w:rsidR="002A3357" w:rsidRDefault="009D1F3E" w:rsidP="003A275C">
      <w:pPr>
        <w:pStyle w:val="NormalH2"/>
      </w:pPr>
      <w:r>
        <w:t xml:space="preserve">3.2. </w:t>
      </w:r>
      <w:r w:rsidR="002A3357" w:rsidRPr="002A3357">
        <w:t>Reporting procedure for adverse reactions</w:t>
      </w:r>
    </w:p>
    <w:p w14:paraId="35864554" w14:textId="77777777" w:rsidR="00FE4B75" w:rsidRPr="00712992" w:rsidRDefault="00FE4B75" w:rsidP="00FE4B75">
      <w:r w:rsidRPr="0024573C">
        <w:t>Healthcare professionals and individuals/carers should report</w:t>
      </w:r>
      <w:r>
        <w:t xml:space="preserve"> all</w:t>
      </w:r>
      <w:r w:rsidRPr="0024573C">
        <w:t xml:space="preserve"> suspected adverse reactions to the Medicines and Healthcare products Regulatory Agency (MHRA) using the Yellow Card reporting scheme on</w:t>
      </w:r>
      <w:r w:rsidRPr="00892259">
        <w:t xml:space="preserve"> </w:t>
      </w:r>
      <w:hyperlink r:id="rId38" w:history="1">
        <w:r w:rsidRPr="00892259">
          <w:rPr>
            <w:rStyle w:val="Hyperlink"/>
          </w:rPr>
          <w:t>http://www.mhra.gov.uk/yellowcard</w:t>
        </w:r>
      </w:hyperlink>
      <w:r>
        <w:rPr>
          <w:rStyle w:val="Hyperlink"/>
        </w:rPr>
        <w:t>.</w:t>
      </w:r>
    </w:p>
    <w:p w14:paraId="7B1E8300" w14:textId="6C6F7EBD" w:rsidR="00FE4B75" w:rsidRPr="005C2149" w:rsidRDefault="00FE4B75" w:rsidP="00FE4B75">
      <w:r w:rsidRPr="009F0531">
        <w:t>Any</w:t>
      </w:r>
      <w:r w:rsidRPr="005C2149">
        <w:t xml:space="preserve"> adverse reaction to a vaccine should be documented in accordance with </w:t>
      </w:r>
      <w:r w:rsidR="009F6CEE">
        <w:br/>
      </w:r>
      <w:r w:rsidRPr="005C2149">
        <w:t xml:space="preserve">locally agreed procedures in the individual’s record and the individual’s GP should </w:t>
      </w:r>
      <w:r w:rsidR="009F6CEE">
        <w:br/>
      </w:r>
      <w:r w:rsidRPr="005C2149">
        <w:t>be informed.</w:t>
      </w:r>
    </w:p>
    <w:p w14:paraId="5C948EE2" w14:textId="1A3107DB" w:rsidR="00FE4B75" w:rsidRPr="005C2149" w:rsidRDefault="00FE4B75" w:rsidP="00FE4B75">
      <w:r w:rsidRPr="005C2149">
        <w:t xml:space="preserve">Anaphylaxis is a very rare, recognised side effect of most vaccines and suspected cases should be reported via the </w:t>
      </w:r>
      <w:r>
        <w:t xml:space="preserve">MHRA </w:t>
      </w:r>
      <w:r w:rsidRPr="005C2149">
        <w:t xml:space="preserve">Yellow Card Scheme. </w:t>
      </w:r>
      <w:r>
        <w:t xml:space="preserve">Green Book </w:t>
      </w:r>
      <w:hyperlink r:id="rId39" w:history="1">
        <w:r w:rsidRPr="00BA1656">
          <w:rPr>
            <w:rStyle w:val="Hyperlink"/>
          </w:rPr>
          <w:t>Chapter 8</w:t>
        </w:r>
      </w:hyperlink>
      <w:r w:rsidR="004A51CF">
        <w:t xml:space="preserve"> </w:t>
      </w:r>
      <w:r w:rsidRPr="005C2149">
        <w:t xml:space="preserve">gives detailed guidance on distinguishing between faints, panic attacks and the signs and symptoms of anaphylaxis. If a case of suspected anaphylaxis meets </w:t>
      </w:r>
      <w:r w:rsidR="009F6CEE">
        <w:br/>
      </w:r>
      <w:r w:rsidRPr="005C2149">
        <w:t xml:space="preserve">the clinical features described in </w:t>
      </w:r>
      <w:r>
        <w:t xml:space="preserve">Green Book </w:t>
      </w:r>
      <w:hyperlink r:id="rId40" w:history="1">
        <w:r w:rsidRPr="00916980">
          <w:rPr>
            <w:rStyle w:val="Hyperlink"/>
          </w:rPr>
          <w:t>Chapter 8</w:t>
        </w:r>
      </w:hyperlink>
      <w:r w:rsidRPr="005C2149">
        <w:t xml:space="preserve">, this should be reported </w:t>
      </w:r>
      <w:r w:rsidR="009F6CEE">
        <w:br/>
      </w:r>
      <w:r w:rsidRPr="005C2149">
        <w:t>via the Yellow Card Scheme as a case of ‘anaphylaxis’ (or if appropriate ‘anaphylactoid reaction’). Cases of less severe allergic reactions (i.e. not including the clinical features of anaphylaxis) should not be reported as anaphylaxis but as ‘allergic reaction’.</w:t>
      </w:r>
    </w:p>
    <w:p w14:paraId="6BF7ADF5" w14:textId="228CBD60" w:rsidR="00A33890" w:rsidRDefault="00FE4B75" w:rsidP="00FE4B75">
      <w:r w:rsidRPr="005C2149">
        <w:t>Programmatic Adverse Events should be recorded in line with local procedures and where appropriate escalated in accordance with the national framework.</w:t>
      </w:r>
    </w:p>
    <w:p w14:paraId="6E8F11DE" w14:textId="13F017F5" w:rsidR="002A3357" w:rsidRDefault="009D1F3E" w:rsidP="009D1F3E">
      <w:pPr>
        <w:pStyle w:val="NormalH2"/>
      </w:pPr>
      <w:r>
        <w:t xml:space="preserve">3.3. </w:t>
      </w:r>
      <w:r w:rsidR="002A3357" w:rsidRPr="002A3357">
        <w:t>Advice to patient or carer including written information</w:t>
      </w:r>
    </w:p>
    <w:p w14:paraId="2C8DDCE8" w14:textId="77777777" w:rsidR="00A90DEB" w:rsidRPr="00AF46FD" w:rsidRDefault="00A90DEB" w:rsidP="00A90DEB">
      <w:r w:rsidRPr="00C54CDE">
        <w:t>Written information to be given to individual:</w:t>
      </w:r>
    </w:p>
    <w:p w14:paraId="59608519" w14:textId="77777777" w:rsidR="00A90DEB" w:rsidRDefault="00A90DEB" w:rsidP="00A90DEB">
      <w:pPr>
        <w:pStyle w:val="Bullet1"/>
      </w:pPr>
      <w:r w:rsidRPr="00C54CDE">
        <w:lastRenderedPageBreak/>
        <w:t xml:space="preserve">Provide manufacturer’s consumer information leaflet/patient information leaflet (PIL) provided with the vaccine. </w:t>
      </w:r>
    </w:p>
    <w:p w14:paraId="66DF0199" w14:textId="77777777" w:rsidR="00A90DEB" w:rsidRDefault="00A90DEB" w:rsidP="00A90DEB">
      <w:pPr>
        <w:pStyle w:val="Bullet1"/>
      </w:pPr>
      <w:r>
        <w:t>Provide copy of Public Health Scotland post-vaccination leaflet.</w:t>
      </w:r>
    </w:p>
    <w:p w14:paraId="6F8C289E" w14:textId="35958B58" w:rsidR="00A90DEB" w:rsidRPr="00AF46FD" w:rsidRDefault="00A90DEB" w:rsidP="00A90DEB">
      <w:r w:rsidRPr="00912AC3">
        <w:t>Individual advice/follow up treatment</w:t>
      </w:r>
      <w:r>
        <w:t>:</w:t>
      </w:r>
    </w:p>
    <w:p w14:paraId="6EFF2D48" w14:textId="77777777" w:rsidR="00A90DEB" w:rsidRDefault="00A90DEB" w:rsidP="00A90DEB">
      <w:pPr>
        <w:pStyle w:val="Bullet1"/>
      </w:pPr>
      <w:r w:rsidRPr="00912AC3">
        <w:t>Inform the individual/carer of possible side effects and their management.</w:t>
      </w:r>
    </w:p>
    <w:p w14:paraId="4E7914F9" w14:textId="32597DC9" w:rsidR="00A90DEB" w:rsidRDefault="00A90DEB" w:rsidP="00A90DEB">
      <w:pPr>
        <w:pStyle w:val="Bullet1"/>
      </w:pPr>
      <w:r w:rsidRPr="00912AC3">
        <w:t xml:space="preserve">Vaccinated individuals should be advised that it is common to develop a </w:t>
      </w:r>
      <w:r w:rsidR="009F6CEE">
        <w:br/>
      </w:r>
      <w:r w:rsidRPr="00912AC3">
        <w:t xml:space="preserve">fever after vaccination and that this normally happens within 48 hours </w:t>
      </w:r>
      <w:r w:rsidR="009F6CEE">
        <w:br/>
      </w:r>
      <w:r w:rsidRPr="00912AC3">
        <w:t xml:space="preserve">after the vaccination and usually goes away within 48 hours. This is a common, expected reaction, and self-isolation and testing for COVID-19 </w:t>
      </w:r>
      <w:r w:rsidR="009F6CEE">
        <w:br/>
      </w:r>
      <w:r w:rsidRPr="00912AC3">
        <w:t>are not required</w:t>
      </w:r>
      <w:r>
        <w:t>.</w:t>
      </w:r>
    </w:p>
    <w:p w14:paraId="16266B01" w14:textId="77777777" w:rsidR="00A90DEB" w:rsidRPr="00912AC3" w:rsidRDefault="00A90DEB" w:rsidP="00A90DEB">
      <w:pPr>
        <w:pStyle w:val="Bullet1"/>
      </w:pPr>
      <w:r w:rsidRPr="00912AC3">
        <w:t xml:space="preserve">Vaccinated individuals should be advised that if the fever started 48 hours after the vaccination or lasts longer than 48 hours, they should </w:t>
      </w:r>
      <w:r w:rsidRPr="0090044F">
        <w:t>seek medical advice as they may have COVID-19 or another infection.</w:t>
      </w:r>
    </w:p>
    <w:p w14:paraId="5AE3B0F8" w14:textId="77777777" w:rsidR="00A90DEB" w:rsidRDefault="00A90DEB" w:rsidP="00A90DEB">
      <w:pPr>
        <w:pStyle w:val="Bullet1"/>
      </w:pPr>
      <w:r w:rsidRPr="00912AC3">
        <w:t>Vaccinated individuals should be advised that feeling generally unwell, shivery, achy and tired were also symptoms commonly reported by vaccine recipients in the clinical trials. Generally, these symptoms were found to resolve within one to two days without treatment, but paracetamol can be taken if necessary to relieve any of these symptoms.</w:t>
      </w:r>
    </w:p>
    <w:p w14:paraId="6C090F5B" w14:textId="77777777" w:rsidR="00A90DEB" w:rsidRPr="005505D5" w:rsidRDefault="00A90DEB" w:rsidP="00A90DEB">
      <w:pPr>
        <w:pStyle w:val="Bullet1"/>
      </w:pPr>
      <w:r w:rsidRPr="005505D5">
        <w:t>Inform the individual/carer that anyone who has any of the following symptoms after vaccination should seek medical advice urgently:</w:t>
      </w:r>
    </w:p>
    <w:p w14:paraId="329EFA2A" w14:textId="77777777" w:rsidR="00A90DEB" w:rsidRPr="005505D5" w:rsidRDefault="00A90DEB" w:rsidP="00A90DEB">
      <w:pPr>
        <w:pStyle w:val="Bullet2"/>
      </w:pPr>
      <w:r w:rsidRPr="005505D5">
        <w:t>chest pain</w:t>
      </w:r>
    </w:p>
    <w:p w14:paraId="17EFEA83" w14:textId="77777777" w:rsidR="00A90DEB" w:rsidRPr="005505D5" w:rsidRDefault="00A90DEB" w:rsidP="00A90DEB">
      <w:pPr>
        <w:pStyle w:val="Bullet2"/>
      </w:pPr>
      <w:r w:rsidRPr="005505D5">
        <w:t>shortness of breath</w:t>
      </w:r>
    </w:p>
    <w:p w14:paraId="6A04617A" w14:textId="77777777" w:rsidR="00A90DEB" w:rsidRPr="005505D5" w:rsidRDefault="00A90DEB" w:rsidP="00A90DEB">
      <w:pPr>
        <w:pStyle w:val="Bullet2"/>
      </w:pPr>
      <w:r w:rsidRPr="005505D5">
        <w:t>feelings of having a fast-beating, fluttering, or pounding heart</w:t>
      </w:r>
    </w:p>
    <w:p w14:paraId="451C86DF" w14:textId="77777777" w:rsidR="00A90DEB" w:rsidRPr="00912AC3" w:rsidRDefault="00A90DEB" w:rsidP="00A90DEB">
      <w:pPr>
        <w:pStyle w:val="Bullet1"/>
      </w:pPr>
      <w:r w:rsidRPr="00912AC3">
        <w:t>As has always been recommended, any fever after vaccination should be monitored and if individuals are concerned about their health at any time, they should seek advice from their GP or NHS24</w:t>
      </w:r>
      <w:r>
        <w:t>.</w:t>
      </w:r>
    </w:p>
    <w:p w14:paraId="726EF505" w14:textId="77777777" w:rsidR="00A90DEB" w:rsidRPr="00912AC3" w:rsidRDefault="00A90DEB" w:rsidP="00A90DEB">
      <w:pPr>
        <w:pStyle w:val="Bullet1"/>
      </w:pPr>
      <w:r w:rsidRPr="00912AC3">
        <w:lastRenderedPageBreak/>
        <w:t>The individual should be advised to seek medical advice in the event of a severe adverse reaction.</w:t>
      </w:r>
    </w:p>
    <w:p w14:paraId="25BAC31E" w14:textId="77777777" w:rsidR="00A90DEB" w:rsidRPr="00892259" w:rsidRDefault="00A90DEB" w:rsidP="00A90DEB">
      <w:pPr>
        <w:pStyle w:val="Bullet1"/>
      </w:pPr>
      <w:r w:rsidRPr="00912AC3">
        <w:t xml:space="preserve">Inform the individual that they can report suspected adverse reactions to the MHRA using the Yellow Card reporting scheme on: </w:t>
      </w:r>
      <w:hyperlink r:id="rId41">
        <w:r w:rsidR="674052BB" w:rsidRPr="0184682A">
          <w:rPr>
            <w:rStyle w:val="Hyperlink"/>
          </w:rPr>
          <w:t>http://www.mhra.gov.uk/yellowcard</w:t>
        </w:r>
      </w:hyperlink>
    </w:p>
    <w:p w14:paraId="08DC2AF2" w14:textId="77777777" w:rsidR="00A90DEB" w:rsidRPr="00912AC3" w:rsidRDefault="00A90DEB" w:rsidP="00A90DEB">
      <w:pPr>
        <w:pStyle w:val="Bullet1"/>
      </w:pPr>
      <w:r w:rsidRPr="00912AC3">
        <w:t>Immunosuppressed individuals should be advised that they may not make a full immune response to the vaccine and they should continue to take appropriate measures to protect themselves against this infection.</w:t>
      </w:r>
    </w:p>
    <w:p w14:paraId="7CD3CFF7" w14:textId="0271C8E6" w:rsidR="00FE4B75" w:rsidRDefault="00A90DEB" w:rsidP="009D1F3E">
      <w:pPr>
        <w:pStyle w:val="Bullet1"/>
      </w:pPr>
      <w:r w:rsidRPr="00912AC3">
        <w:t>When administration is postponed advise the individual how future vaccination may be accessed</w:t>
      </w:r>
      <w:r>
        <w:t>.</w:t>
      </w:r>
    </w:p>
    <w:p w14:paraId="682F0520" w14:textId="7F8EF350" w:rsidR="002A3357" w:rsidRDefault="009D1F3E" w:rsidP="009D1F3E">
      <w:pPr>
        <w:pStyle w:val="NormalH2"/>
      </w:pPr>
      <w:r>
        <w:t xml:space="preserve">3.4. </w:t>
      </w:r>
      <w:r w:rsidR="002A3357" w:rsidRPr="002A3357">
        <w:t>Observation following vaccination</w:t>
      </w:r>
    </w:p>
    <w:p w14:paraId="5CE9C645" w14:textId="77777777" w:rsidR="0071195C" w:rsidRPr="001701AE" w:rsidRDefault="0071195C" w:rsidP="0071195C">
      <w:r w:rsidRPr="001701AE">
        <w:t>Following COVID-19 vaccine administration, individuals should be observed for any immediate reactions whilst they are receiving any verbal post vaccination information and exiting the centre.</w:t>
      </w:r>
    </w:p>
    <w:p w14:paraId="0F682175" w14:textId="402D1FC5" w:rsidR="0071195C" w:rsidRPr="001701AE" w:rsidRDefault="0071195C" w:rsidP="0071195C">
      <w:r w:rsidRPr="003B717F">
        <w:t>According to the SmPC, it is recommended that all recipients of the Pfizer BioNTech, vaccine are kept for observation and monitored for a minimum of 15 minutes. In recognition of the need to accelerate delivery of the programme in response to the emergence of the</w:t>
      </w:r>
      <w:r w:rsidR="003B717F" w:rsidRPr="003B717F">
        <w:t xml:space="preserve"> </w:t>
      </w:r>
      <w:r w:rsidRPr="003B717F">
        <w:t xml:space="preserve">Omicron variant, the UK Chief Medical Officers recommended suspension of this requirement for the two mRNA vaccines (Comirnaty and Spikevax) in both adults and children. This temporary suspension in individuals without a history of allergy </w:t>
      </w:r>
      <w:r w:rsidR="00172BF7">
        <w:t>w</w:t>
      </w:r>
      <w:r w:rsidRPr="003B717F">
        <w:t>as also agreed by the Commission on Human Medicines.</w:t>
      </w:r>
      <w:r w:rsidR="003B717F">
        <w:t xml:space="preserve"> </w:t>
      </w:r>
      <w:r w:rsidR="003B717F" w:rsidRPr="003B717F">
        <w:t xml:space="preserve">The advice to suspend the routine 15 minute observation period applies to all the currently available COVID-19 vaccines, including the </w:t>
      </w:r>
      <w:r w:rsidR="0084656B">
        <w:t xml:space="preserve">variant </w:t>
      </w:r>
      <w:r w:rsidR="003B717F" w:rsidRPr="003B717F">
        <w:t>mRNA products</w:t>
      </w:r>
      <w:r w:rsidR="00E5774A">
        <w:t>.</w:t>
      </w:r>
    </w:p>
    <w:p w14:paraId="09D82951" w14:textId="790D072A" w:rsidR="0071195C" w:rsidRPr="001701AE" w:rsidRDefault="0071195C" w:rsidP="0071195C">
      <w:r w:rsidRPr="001701AE">
        <w:t>A</w:t>
      </w:r>
      <w:r w:rsidR="00F24577">
        <w:t>n</w:t>
      </w:r>
      <w:r w:rsidRPr="001701AE">
        <w:t xml:space="preserve"> observation period when indicated after clinical assessment </w:t>
      </w:r>
      <w:r>
        <w:t xml:space="preserve">in individuals with a history of allergy </w:t>
      </w:r>
      <w:r w:rsidRPr="001701AE">
        <w:t xml:space="preserve">as set out in </w:t>
      </w:r>
      <w:r>
        <w:t xml:space="preserve">Table 5 and flowchart in </w:t>
      </w:r>
      <w:r w:rsidRPr="009D627E">
        <w:t xml:space="preserve">Green Book </w:t>
      </w:r>
      <w:r w:rsidR="009F6CEE">
        <w:br/>
      </w:r>
      <w:hyperlink r:id="rId42">
        <w:r w:rsidR="1A6D8D66" w:rsidRPr="0184682A">
          <w:rPr>
            <w:rStyle w:val="Hyperlink"/>
          </w:rPr>
          <w:t>Chapter 14a</w:t>
        </w:r>
      </w:hyperlink>
      <w:r>
        <w:rPr>
          <w:rStyle w:val="Hyperlink"/>
        </w:rPr>
        <w:t>.</w:t>
      </w:r>
    </w:p>
    <w:p w14:paraId="44B5BD07" w14:textId="70FE7F9E" w:rsidR="0071195C" w:rsidRPr="001701AE" w:rsidRDefault="0071195C" w:rsidP="0071195C">
      <w:r w:rsidRPr="001701AE">
        <w:t xml:space="preserve">Vaccinated individuals should be informed about how to access immediate healthcare advice in the event of displaying any symptoms. In some settings, for </w:t>
      </w:r>
      <w:r w:rsidRPr="001701AE">
        <w:lastRenderedPageBreak/>
        <w:t>example domiciliary vaccination, this may require a responsible adult to be present for at least 15 minutes after vaccination.</w:t>
      </w:r>
    </w:p>
    <w:p w14:paraId="2A19355B" w14:textId="4333B770" w:rsidR="00A90DEB" w:rsidRDefault="0071195C" w:rsidP="0071195C">
      <w:r w:rsidRPr="001701AE">
        <w:t>As syncope (fainting) can occur following vaccination, all vaccinees should either be driven by someone else or should not drive for 15 minutes after vaccination</w:t>
      </w:r>
      <w:r w:rsidR="00347041">
        <w:t>.</w:t>
      </w:r>
    </w:p>
    <w:p w14:paraId="51813849" w14:textId="77777777" w:rsidR="002A3357" w:rsidRDefault="009D1F3E" w:rsidP="009D1F3E">
      <w:pPr>
        <w:pStyle w:val="NormalH2"/>
      </w:pPr>
      <w:r>
        <w:t xml:space="preserve">3.5. </w:t>
      </w:r>
      <w:r w:rsidR="002A3357" w:rsidRPr="002A3357">
        <w:t>Follow up</w:t>
      </w:r>
    </w:p>
    <w:p w14:paraId="65591FA9" w14:textId="67355D99" w:rsidR="00814B11" w:rsidRPr="00814B11" w:rsidRDefault="0071195C" w:rsidP="00814B11">
      <w:r>
        <w:t>Not applicable.</w:t>
      </w:r>
    </w:p>
    <w:p w14:paraId="272079C0" w14:textId="77777777" w:rsidR="002A3357" w:rsidRDefault="009D1F3E" w:rsidP="009D1F3E">
      <w:pPr>
        <w:pStyle w:val="NormalH2"/>
      </w:pPr>
      <w:r>
        <w:t xml:space="preserve">3.6. </w:t>
      </w:r>
      <w:r w:rsidR="002A3357" w:rsidRPr="002A3357">
        <w:t>Additional facilities</w:t>
      </w:r>
    </w:p>
    <w:p w14:paraId="23EB8F0C" w14:textId="77777777" w:rsidR="009D1F3E" w:rsidRDefault="009D1F3E" w:rsidP="009D1F3E">
      <w:r w:rsidRPr="001712F3">
        <w:t xml:space="preserve">A protocol for the management of anaphylaxis and an anaphylaxis pack must always be available whenever vaccines are given. Immediate treatment should include early treatment with intramuscular adrenaline, with an early call for help and further IM adrenaline every 5 minutes. </w:t>
      </w:r>
    </w:p>
    <w:p w14:paraId="1EDB801A" w14:textId="77777777" w:rsidR="00053378" w:rsidRDefault="009D1F3E">
      <w:r w:rsidRPr="001712F3">
        <w:t>The health professionals overseeing the immunisation service must be trained to recognise an anaphylactic reaction and be familiar with techniques for resuscitation of a patient with anaphylaxis.</w:t>
      </w:r>
    </w:p>
    <w:p w14:paraId="65CE1685" w14:textId="77777777" w:rsidR="00D21034" w:rsidRDefault="00D21034">
      <w:r>
        <w:br w:type="page"/>
      </w:r>
    </w:p>
    <w:p w14:paraId="2E42EB8C" w14:textId="77777777" w:rsidR="007639B5" w:rsidRDefault="00EC3EE6" w:rsidP="00EC3EE6">
      <w:pPr>
        <w:pStyle w:val="NormalH1"/>
      </w:pPr>
      <w:bookmarkStart w:id="48" w:name="_Toc124848779"/>
      <w:bookmarkStart w:id="49" w:name="_Toc193362806"/>
      <w:r>
        <w:lastRenderedPageBreak/>
        <w:t xml:space="preserve">4. </w:t>
      </w:r>
      <w:r w:rsidR="007639B5" w:rsidRPr="00EC3EE6">
        <w:t>Characteristics</w:t>
      </w:r>
      <w:r w:rsidR="007639B5" w:rsidRPr="007639B5">
        <w:t xml:space="preserve"> of staff authorised under the PGD</w:t>
      </w:r>
      <w:bookmarkEnd w:id="48"/>
      <w:bookmarkEnd w:id="49"/>
    </w:p>
    <w:p w14:paraId="58531DAB" w14:textId="77777777" w:rsidR="00A6610C" w:rsidRDefault="009D1F3E" w:rsidP="009D1F3E">
      <w:pPr>
        <w:pStyle w:val="NormalH2"/>
      </w:pPr>
      <w:r>
        <w:t xml:space="preserve">4.1. </w:t>
      </w:r>
      <w:r w:rsidR="00A6610C" w:rsidRPr="00A6610C">
        <w:t>Professional qualifications</w:t>
      </w:r>
    </w:p>
    <w:p w14:paraId="07A611BA" w14:textId="77777777" w:rsidR="009D1F3E" w:rsidRPr="00703A8C" w:rsidRDefault="009D1F3E" w:rsidP="009D1F3E">
      <w:r w:rsidRPr="00703A8C">
        <w:t>The following classes of registered healthcare practitioners are permitted to administer this vaccine:</w:t>
      </w:r>
    </w:p>
    <w:p w14:paraId="0902AF91" w14:textId="19AB3429" w:rsidR="009D1F3E" w:rsidRPr="00703A8C" w:rsidRDefault="009D1F3E" w:rsidP="009D1F3E">
      <w:pPr>
        <w:pStyle w:val="Bullet1"/>
      </w:pPr>
      <w:r w:rsidRPr="00703A8C">
        <w:t>nurses and midwives currently registered with the Nursing and Midwifery Council (NMC)</w:t>
      </w:r>
      <w:r w:rsidR="00954B93">
        <w:t>.</w:t>
      </w:r>
    </w:p>
    <w:p w14:paraId="4715FA7C" w14:textId="57BFC31A" w:rsidR="009D1F3E" w:rsidRDefault="009D1F3E" w:rsidP="009D1F3E">
      <w:pPr>
        <w:pStyle w:val="Bullet1"/>
      </w:pPr>
      <w:bookmarkStart w:id="50" w:name="_Hlk171513280"/>
      <w:r w:rsidRPr="00703A8C">
        <w:t xml:space="preserve">pharmacists currently registered with the General Pharmaceutical </w:t>
      </w:r>
      <w:r w:rsidR="009F6CEE">
        <w:br/>
      </w:r>
      <w:r w:rsidRPr="00703A8C">
        <w:t>Council (GPhC)</w:t>
      </w:r>
      <w:r w:rsidR="00954B93">
        <w:t>.</w:t>
      </w:r>
    </w:p>
    <w:bookmarkEnd w:id="50"/>
    <w:p w14:paraId="43936B72" w14:textId="630E9BE9" w:rsidR="007D0504" w:rsidRPr="00703A8C" w:rsidRDefault="000D5EB0" w:rsidP="007D0504">
      <w:pPr>
        <w:pStyle w:val="Bullet1"/>
      </w:pPr>
      <w:r>
        <w:t>p</w:t>
      </w:r>
      <w:r w:rsidR="007D0504" w:rsidRPr="007D0504">
        <w:t>harmac</w:t>
      </w:r>
      <w:r w:rsidR="00275F10">
        <w:t>y technicians</w:t>
      </w:r>
      <w:r w:rsidR="007D0504" w:rsidRPr="007D0504">
        <w:t xml:space="preserve"> currently registered with the General Pharmaceutical </w:t>
      </w:r>
      <w:r w:rsidR="007D0504" w:rsidRPr="007D0504">
        <w:br/>
        <w:t>Council (GPhC).</w:t>
      </w:r>
    </w:p>
    <w:p w14:paraId="3137325A" w14:textId="65BF131B" w:rsidR="009D1F3E" w:rsidRPr="00703A8C" w:rsidRDefault="009D1F3E" w:rsidP="009D1F3E">
      <w:pPr>
        <w:pStyle w:val="Bullet1"/>
      </w:pPr>
      <w:r w:rsidRPr="00703A8C">
        <w:t>chiropodists/podiatrists, dieticians, occupational therapists, orthoptists, orthotists/prosthetists, paramedics, physiotherapists, radiographers and speech and language therapists currently registered with the Health and Care Professions Council (HCPC)</w:t>
      </w:r>
      <w:r w:rsidR="00954B93">
        <w:t>.</w:t>
      </w:r>
    </w:p>
    <w:p w14:paraId="2D936F3A" w14:textId="5106D1E5" w:rsidR="009D1F3E" w:rsidRPr="00703A8C" w:rsidRDefault="009D1F3E" w:rsidP="009D1F3E">
      <w:pPr>
        <w:pStyle w:val="Bullet1"/>
      </w:pPr>
      <w:r w:rsidRPr="00703A8C">
        <w:t xml:space="preserve">dental hygienists and dental therapists registered with the General </w:t>
      </w:r>
      <w:r w:rsidR="009F6CEE">
        <w:br/>
      </w:r>
      <w:r w:rsidRPr="00703A8C">
        <w:t>Dental Council</w:t>
      </w:r>
      <w:r w:rsidR="00954B93">
        <w:t>.</w:t>
      </w:r>
    </w:p>
    <w:p w14:paraId="0C1ED752" w14:textId="77777777" w:rsidR="009D1F3E" w:rsidRPr="00703A8C" w:rsidRDefault="009D1F3E" w:rsidP="009D1F3E">
      <w:pPr>
        <w:pStyle w:val="Bullet1"/>
      </w:pPr>
      <w:r w:rsidRPr="00703A8C">
        <w:t>optometrists registered with the General Optical Council.</w:t>
      </w:r>
    </w:p>
    <w:p w14:paraId="163710B3" w14:textId="37CC4FFC" w:rsidR="009336EE" w:rsidRDefault="009D1F3E" w:rsidP="009D1F3E">
      <w:pPr>
        <w:pStyle w:val="NormalH2"/>
      </w:pPr>
      <w:r>
        <w:t xml:space="preserve">4.2. </w:t>
      </w:r>
      <w:r w:rsidR="009336EE">
        <w:t>Specialist competencies or qualifications</w:t>
      </w:r>
    </w:p>
    <w:p w14:paraId="568832BB" w14:textId="77777777" w:rsidR="00B962D6" w:rsidRPr="00A6610C" w:rsidRDefault="00B962D6" w:rsidP="00B962D6">
      <w:r w:rsidRPr="00A6610C">
        <w:t>Persons must only work under this PGD where they are competent to do so.</w:t>
      </w:r>
    </w:p>
    <w:p w14:paraId="420F0307" w14:textId="77777777" w:rsidR="00B962D6" w:rsidRDefault="00B962D6" w:rsidP="00B962D6">
      <w:r w:rsidRPr="00A6610C">
        <w:t>All p</w:t>
      </w:r>
      <w:r>
        <w:t xml:space="preserve">ractitioners </w:t>
      </w:r>
      <w:r w:rsidRPr="00A6610C">
        <w:t>operating this PGD</w:t>
      </w:r>
      <w:r>
        <w:t>:</w:t>
      </w:r>
    </w:p>
    <w:p w14:paraId="54F40E3D" w14:textId="77777777" w:rsidR="00B962D6" w:rsidRPr="005C2149" w:rsidRDefault="00B962D6" w:rsidP="00B962D6">
      <w:pPr>
        <w:pStyle w:val="Bullet1"/>
      </w:pPr>
      <w:r w:rsidRPr="005C2149">
        <w:t>demonstrate appropriate knowledge and skills to work under the PGD for the administration of COVID-19 vaccine.</w:t>
      </w:r>
    </w:p>
    <w:p w14:paraId="31D32D2D" w14:textId="77777777" w:rsidR="00B962D6" w:rsidRPr="00A44098" w:rsidRDefault="00B962D6" w:rsidP="00B962D6">
      <w:pPr>
        <w:pStyle w:val="Bullet1"/>
      </w:pPr>
      <w:r>
        <w:lastRenderedPageBreak/>
        <w:t>h</w:t>
      </w:r>
      <w:r w:rsidRPr="005C2149">
        <w:t>ave met the requirements of the NES Proficiency document -COVID-19 vaccine</w:t>
      </w:r>
      <w:r w:rsidRPr="00D540D2">
        <w:t xml:space="preserve"> administration for registered staff or the NES Proficiency document –COVID-19 vaccine administration. </w:t>
      </w:r>
      <w:r w:rsidR="6F6812EA">
        <w:t xml:space="preserve">This NES Proficiency document can be found at TURAS Learn at: </w:t>
      </w:r>
      <w:hyperlink r:id="rId43">
        <w:r w:rsidR="6F6812EA" w:rsidRPr="0184682A">
          <w:rPr>
            <w:rStyle w:val="Hyperlink"/>
          </w:rPr>
          <w:t>https://learn.nes.nhs.scot/37676/immunisation/covid-19-vaccines</w:t>
        </w:r>
      </w:hyperlink>
    </w:p>
    <w:p w14:paraId="0D78EA39" w14:textId="77777777" w:rsidR="00B962D6" w:rsidRPr="00D540D2" w:rsidRDefault="00B962D6" w:rsidP="00B962D6">
      <w:r w:rsidRPr="00D540D2">
        <w:t>All persons operating this PGD:</w:t>
      </w:r>
    </w:p>
    <w:p w14:paraId="72BE3C22" w14:textId="5B18A374" w:rsidR="00B962D6" w:rsidRPr="005C2149" w:rsidRDefault="00B962D6" w:rsidP="00B962D6">
      <w:pPr>
        <w:pStyle w:val="Bullet1"/>
      </w:pPr>
      <w:r w:rsidRPr="005C2149">
        <w:t>must be authorised by name by their employer as an approved person under the current terms of this PGD before working to it</w:t>
      </w:r>
    </w:p>
    <w:p w14:paraId="0715E3BC" w14:textId="476DA409" w:rsidR="00B962D6" w:rsidRPr="005C2149" w:rsidRDefault="00B962D6" w:rsidP="00B962D6">
      <w:pPr>
        <w:pStyle w:val="Bullet1"/>
      </w:pPr>
      <w:r w:rsidRPr="005C2149">
        <w:t xml:space="preserve">must be familiar with the vaccine product and alert to changes in </w:t>
      </w:r>
      <w:r w:rsidR="009F6CEE">
        <w:br/>
      </w:r>
      <w:r w:rsidRPr="005C2149">
        <w:t>the manufacturer’s product information/summary of product</w:t>
      </w:r>
      <w:r>
        <w:t xml:space="preserve"> </w:t>
      </w:r>
      <w:r w:rsidR="009F6CEE">
        <w:br/>
      </w:r>
      <w:r>
        <w:t>characteristics</w:t>
      </w:r>
      <w:r w:rsidRPr="005C2149">
        <w:t xml:space="preserve"> information</w:t>
      </w:r>
    </w:p>
    <w:p w14:paraId="6DCE4EAE" w14:textId="543ABB58" w:rsidR="00B962D6" w:rsidRPr="005C2149" w:rsidRDefault="00B962D6" w:rsidP="00B962D6">
      <w:pPr>
        <w:pStyle w:val="Bullet1"/>
      </w:pPr>
      <w:r w:rsidRPr="005C2149">
        <w:t>must be competent to undertake immunisation and to discuss issues related to immunisation to assess patients for vaccination and obtain consent</w:t>
      </w:r>
    </w:p>
    <w:p w14:paraId="1EAD4992" w14:textId="6C320325" w:rsidR="00B962D6" w:rsidRPr="005C2149" w:rsidRDefault="00B962D6" w:rsidP="00B962D6">
      <w:pPr>
        <w:pStyle w:val="Bullet1"/>
      </w:pPr>
      <w:r w:rsidRPr="005C2149">
        <w:t>must be competent in the correct storage of vaccines and management of the cold chain if receiving, responsible for, or handling the vaccine</w:t>
      </w:r>
    </w:p>
    <w:p w14:paraId="78EC304A" w14:textId="6D2961BA" w:rsidR="00B962D6" w:rsidRPr="005C2149" w:rsidRDefault="00B962D6" w:rsidP="00B962D6">
      <w:pPr>
        <w:pStyle w:val="Bullet1"/>
      </w:pPr>
      <w:r w:rsidRPr="005C2149">
        <w:t>must be competent in the recognition and management of anaphylaxis or under the supervision of persons able to respond appropriately to immediate adverse reactions</w:t>
      </w:r>
    </w:p>
    <w:p w14:paraId="18058750" w14:textId="2197093E" w:rsidR="00B962D6" w:rsidRPr="005C2149" w:rsidRDefault="00B962D6" w:rsidP="00B962D6">
      <w:pPr>
        <w:pStyle w:val="Bullet1"/>
      </w:pPr>
      <w:r w:rsidRPr="005C2149">
        <w:t>must have access to the PGD and associated online resources</w:t>
      </w:r>
    </w:p>
    <w:p w14:paraId="2724C86E" w14:textId="77777777" w:rsidR="00B962D6" w:rsidRPr="00D540D2" w:rsidRDefault="00B962D6" w:rsidP="00B962D6">
      <w:pPr>
        <w:pStyle w:val="Bullet1"/>
      </w:pPr>
      <w:r w:rsidRPr="005C2149">
        <w:t>should fulfil any additional requirements defined by local policy</w:t>
      </w:r>
      <w:r>
        <w:t>.</w:t>
      </w:r>
    </w:p>
    <w:p w14:paraId="4929D88F" w14:textId="77777777" w:rsidR="00B962D6" w:rsidRDefault="00B962D6" w:rsidP="00B962D6">
      <w:r w:rsidRPr="00D540D2">
        <w:t>All practitioners operating under the PGD are responsible for ensuring they remain up to date with the use of COVID-19 vaccines included. If any training needs are identified these should be discussed with the individuals in the organisation responsible for authorising individuals to act under the PGD</w:t>
      </w:r>
      <w:r>
        <w:t>.</w:t>
      </w:r>
    </w:p>
    <w:p w14:paraId="016309B3" w14:textId="77777777" w:rsidR="007208CC" w:rsidRDefault="007208CC">
      <w:pPr>
        <w:rPr>
          <w:b/>
          <w:sz w:val="28"/>
        </w:rPr>
      </w:pPr>
      <w:r>
        <w:br w:type="page"/>
      </w:r>
    </w:p>
    <w:p w14:paraId="6565D36B" w14:textId="20694404" w:rsidR="00B962D6" w:rsidRPr="007D6887" w:rsidRDefault="00B962D6" w:rsidP="009F6CEE">
      <w:pPr>
        <w:pStyle w:val="NormalH3"/>
      </w:pPr>
      <w:r w:rsidRPr="009F6CEE">
        <w:lastRenderedPageBreak/>
        <w:t>Employer</w:t>
      </w:r>
    </w:p>
    <w:p w14:paraId="0E6C982D" w14:textId="77777777" w:rsidR="00B962D6" w:rsidRPr="00D21810" w:rsidRDefault="00B962D6" w:rsidP="00B962D6">
      <w:pPr>
        <w:pStyle w:val="Bullet1"/>
      </w:pPr>
      <w:r w:rsidRPr="00D21810">
        <w:t>The employer is responsible for ensuring that persons have the required knowledge and skills to safely deliver the activity they are employed to provide under this PGD.</w:t>
      </w:r>
    </w:p>
    <w:p w14:paraId="342544FF" w14:textId="470ADF98" w:rsidR="0071195C" w:rsidRDefault="00B962D6" w:rsidP="009D1F3E">
      <w:pPr>
        <w:pStyle w:val="Bullet1"/>
      </w:pPr>
      <w:r w:rsidRPr="00D21810">
        <w:t>As a minimum, competence requirements stipulated in the PGD must be adhered to.</w:t>
      </w:r>
    </w:p>
    <w:p w14:paraId="69A8F99F" w14:textId="77777777" w:rsidR="00A6610C" w:rsidRDefault="00AB0667" w:rsidP="00AB0667">
      <w:pPr>
        <w:pStyle w:val="NormalH2"/>
      </w:pPr>
      <w:r>
        <w:t xml:space="preserve">4.3. </w:t>
      </w:r>
      <w:r w:rsidR="00A6610C" w:rsidRPr="00A6610C">
        <w:t>Continuing education and training</w:t>
      </w:r>
    </w:p>
    <w:p w14:paraId="127D30FD" w14:textId="77777777" w:rsidR="00BD5ED4" w:rsidRDefault="009336EE" w:rsidP="00BD5ED4">
      <w:r w:rsidRPr="00D540D2">
        <w:t>All practitioners operating under the PGD are responsible for ensuring they re</w:t>
      </w:r>
      <w:r>
        <w:t>main up to date with the use of vaccines included</w:t>
      </w:r>
      <w:r w:rsidRPr="00D540D2">
        <w:t>. If any training needs are identified these should be discussed with the individuals in the organisation responsible for authorising individuals to act under this PGD.</w:t>
      </w:r>
    </w:p>
    <w:p w14:paraId="67CD26C9" w14:textId="77777777" w:rsidR="00BD5ED4" w:rsidRDefault="00BD5ED4">
      <w:r>
        <w:br w:type="page"/>
      </w:r>
    </w:p>
    <w:p w14:paraId="4455D4CC" w14:textId="77777777" w:rsidR="007639B5" w:rsidRDefault="00AB0667" w:rsidP="00EC3EE6">
      <w:pPr>
        <w:pStyle w:val="NormalH1"/>
      </w:pPr>
      <w:bookmarkStart w:id="51" w:name="_Toc124848780"/>
      <w:bookmarkStart w:id="52" w:name="_Toc193362807"/>
      <w:r w:rsidRPr="00AB0667">
        <w:rPr>
          <w:bCs/>
        </w:rPr>
        <w:lastRenderedPageBreak/>
        <w:t>5.</w:t>
      </w:r>
      <w:r>
        <w:t xml:space="preserve"> </w:t>
      </w:r>
      <w:r w:rsidR="007639B5" w:rsidRPr="007639B5">
        <w:t>Audit trail</w:t>
      </w:r>
      <w:bookmarkEnd w:id="51"/>
      <w:bookmarkEnd w:id="52"/>
    </w:p>
    <w:p w14:paraId="2BD15F8A" w14:textId="77777777" w:rsidR="005F7211" w:rsidRPr="00AB0667" w:rsidRDefault="00A6610C" w:rsidP="004019B4">
      <w:pPr>
        <w:rPr>
          <w:rStyle w:val="Bold"/>
        </w:rPr>
      </w:pPr>
      <w:r w:rsidRPr="00AB0667">
        <w:rPr>
          <w:rStyle w:val="Bold"/>
        </w:rPr>
        <w:t>Record</w:t>
      </w:r>
      <w:r w:rsidR="00F053BB" w:rsidRPr="00AB0667">
        <w:rPr>
          <w:rStyle w:val="Bold"/>
        </w:rPr>
        <w:t xml:space="preserve"> the following information</w:t>
      </w:r>
      <w:r w:rsidR="00AB0667" w:rsidRPr="00AB0667">
        <w:rPr>
          <w:rStyle w:val="Bold"/>
        </w:rPr>
        <w:t>:</w:t>
      </w:r>
    </w:p>
    <w:p w14:paraId="1A4B0B46" w14:textId="77777777" w:rsidR="00AB0667" w:rsidRPr="006F0E43" w:rsidRDefault="00AB0667" w:rsidP="00AB0667">
      <w:pPr>
        <w:pStyle w:val="Bullet1"/>
      </w:pPr>
      <w:r w:rsidRPr="006F0E43">
        <w:t>valid informed consent was given</w:t>
      </w:r>
    </w:p>
    <w:p w14:paraId="4BFC439C" w14:textId="77777777" w:rsidR="00AB0667" w:rsidRPr="006F0E43" w:rsidRDefault="00AB0667" w:rsidP="00AB0667">
      <w:pPr>
        <w:pStyle w:val="Bullet1"/>
      </w:pPr>
      <w:r w:rsidRPr="006F0E43">
        <w:t>name of individual, address, date of birth and GP with whom the individual is registered if possible</w:t>
      </w:r>
    </w:p>
    <w:p w14:paraId="27BAA6F1" w14:textId="77777777" w:rsidR="00AB0667" w:rsidRPr="006F0E43" w:rsidRDefault="00AB0667" w:rsidP="00AB0667">
      <w:pPr>
        <w:pStyle w:val="Bullet1"/>
      </w:pPr>
      <w:r w:rsidRPr="006F0E43">
        <w:t>name of person that undertook assessment of individual’s clinical suitability and subsequently administered the vaccine</w:t>
      </w:r>
    </w:p>
    <w:p w14:paraId="3EA33B46" w14:textId="77777777" w:rsidR="00AB0667" w:rsidRPr="006F0E43" w:rsidRDefault="00AB0667" w:rsidP="00AB0667">
      <w:pPr>
        <w:pStyle w:val="Bullet1"/>
      </w:pPr>
      <w:r w:rsidRPr="006F0E43">
        <w:t>name and brand of vaccine</w:t>
      </w:r>
    </w:p>
    <w:p w14:paraId="1725D076" w14:textId="77777777" w:rsidR="00AB0667" w:rsidRPr="006F0E43" w:rsidRDefault="00AB0667" w:rsidP="00AB0667">
      <w:pPr>
        <w:pStyle w:val="Bullet1"/>
      </w:pPr>
      <w:r w:rsidRPr="006F0E43">
        <w:t>date of administration</w:t>
      </w:r>
    </w:p>
    <w:p w14:paraId="20BB0527" w14:textId="77777777" w:rsidR="00AB0667" w:rsidRPr="006F0E43" w:rsidRDefault="00AB0667" w:rsidP="00AB0667">
      <w:pPr>
        <w:pStyle w:val="Bullet1"/>
      </w:pPr>
      <w:r w:rsidRPr="006F0E43">
        <w:t>dose, form and route of administration of vaccine</w:t>
      </w:r>
    </w:p>
    <w:p w14:paraId="41C16B2E" w14:textId="77777777" w:rsidR="00AB0667" w:rsidRPr="006F0E43" w:rsidRDefault="00AB0667" w:rsidP="00AB0667">
      <w:pPr>
        <w:pStyle w:val="Bullet1"/>
      </w:pPr>
      <w:r w:rsidRPr="006F0E43">
        <w:t>batch number</w:t>
      </w:r>
    </w:p>
    <w:p w14:paraId="34399E86" w14:textId="77777777" w:rsidR="00AB0667" w:rsidRPr="006F0E43" w:rsidRDefault="00AB0667" w:rsidP="00AB0667">
      <w:pPr>
        <w:pStyle w:val="Bullet1"/>
      </w:pPr>
      <w:r w:rsidRPr="006F0E43">
        <w:t>where possible expiry date</w:t>
      </w:r>
    </w:p>
    <w:p w14:paraId="21835A37" w14:textId="77777777" w:rsidR="00AB0667" w:rsidRPr="006F0E43" w:rsidRDefault="00AB0667" w:rsidP="00AB0667">
      <w:pPr>
        <w:pStyle w:val="Bullet1"/>
      </w:pPr>
      <w:r w:rsidRPr="006F0E43">
        <w:t>anatomical site of vaccination</w:t>
      </w:r>
    </w:p>
    <w:p w14:paraId="4728BA29" w14:textId="77777777" w:rsidR="00AB0667" w:rsidRPr="006F0E43" w:rsidRDefault="00AB0667" w:rsidP="00AB0667">
      <w:pPr>
        <w:pStyle w:val="Bullet1"/>
      </w:pPr>
      <w:r w:rsidRPr="006F0E43">
        <w:t>advice given, including advice given if excluded or declines immunisation</w:t>
      </w:r>
    </w:p>
    <w:p w14:paraId="007A89FF" w14:textId="77777777" w:rsidR="00AB0667" w:rsidRPr="006F0E43" w:rsidRDefault="00AB0667" w:rsidP="00AB0667">
      <w:pPr>
        <w:pStyle w:val="Bullet1"/>
      </w:pPr>
      <w:r w:rsidRPr="006F0E43">
        <w:t>details of any adverse drug reactions and actions taken</w:t>
      </w:r>
    </w:p>
    <w:p w14:paraId="780C999B" w14:textId="77777777" w:rsidR="00AB0667" w:rsidRPr="006F0E43" w:rsidRDefault="00AB0667" w:rsidP="00AB0667">
      <w:pPr>
        <w:pStyle w:val="Bullet1"/>
      </w:pPr>
      <w:r w:rsidRPr="006F0E43">
        <w:t>administered under PGD</w:t>
      </w:r>
    </w:p>
    <w:p w14:paraId="166DC254" w14:textId="2973D396" w:rsidR="00AB0667" w:rsidRPr="006F0E43" w:rsidRDefault="00B962D6" w:rsidP="00B962D6">
      <w:r>
        <w:t>R</w:t>
      </w:r>
      <w:r w:rsidR="00AB0667" w:rsidRPr="006F0E43">
        <w:t>ecords should be kept in line with local procedures</w:t>
      </w:r>
      <w:r w:rsidR="00750EBD">
        <w:t>.</w:t>
      </w:r>
    </w:p>
    <w:p w14:paraId="0BC4C8A4" w14:textId="5B9B9822" w:rsidR="00AB0667" w:rsidRPr="007C1BFD" w:rsidRDefault="00B962D6" w:rsidP="00B962D6">
      <w:r>
        <w:t>L</w:t>
      </w:r>
      <w:r w:rsidR="00AB0667" w:rsidRPr="006F0E43">
        <w:t>ocal policy should be followed to encourage information sharing with the individual’s General Practice</w:t>
      </w:r>
      <w:r w:rsidR="00750EBD">
        <w:t>.</w:t>
      </w:r>
    </w:p>
    <w:p w14:paraId="1751F0EE" w14:textId="0A9C5DF7" w:rsidR="005F7211" w:rsidRPr="00A6610C" w:rsidRDefault="00AB0667" w:rsidP="00AB0667">
      <w:r w:rsidRPr="009D3CD6">
        <w:t xml:space="preserve">All records should be clear, legible and contemporaneous and in an easily </w:t>
      </w:r>
      <w:r w:rsidR="009F6CEE">
        <w:br/>
      </w:r>
      <w:r w:rsidRPr="009D3CD6">
        <w:t>retrievable format.</w:t>
      </w:r>
    </w:p>
    <w:p w14:paraId="3D949A86" w14:textId="77777777" w:rsidR="00814B11" w:rsidRDefault="00926771" w:rsidP="00926771">
      <w:pPr>
        <w:pStyle w:val="NormalH1"/>
      </w:pPr>
      <w:bookmarkStart w:id="53" w:name="_Toc124848781"/>
      <w:bookmarkStart w:id="54" w:name="_Toc193362808"/>
      <w:r>
        <w:lastRenderedPageBreak/>
        <w:t xml:space="preserve">6. </w:t>
      </w:r>
      <w:r w:rsidR="007639B5" w:rsidRPr="007639B5">
        <w:t>Additional references</w:t>
      </w:r>
      <w:bookmarkEnd w:id="53"/>
      <w:bookmarkEnd w:id="54"/>
    </w:p>
    <w:p w14:paraId="5950A032" w14:textId="77777777" w:rsidR="00306FA2" w:rsidRPr="00AF46FD" w:rsidRDefault="00306FA2" w:rsidP="00306FA2">
      <w:r w:rsidRPr="007C5E0C">
        <w:t>Practitioners operating the PGD must be familiar with:</w:t>
      </w:r>
    </w:p>
    <w:p w14:paraId="051E72FD" w14:textId="77777777" w:rsidR="00306FA2" w:rsidRPr="00BD2CFB" w:rsidRDefault="4FFD3935" w:rsidP="00306FA2">
      <w:pPr>
        <w:pStyle w:val="Bullet1"/>
      </w:pPr>
      <w:hyperlink r:id="rId44">
        <w:r w:rsidRPr="0184682A">
          <w:rPr>
            <w:rStyle w:val="Hyperlink"/>
          </w:rPr>
          <w:t>Immunisation against Infectious Disease [Green Book]</w:t>
        </w:r>
      </w:hyperlink>
      <w:r>
        <w:t>.</w:t>
      </w:r>
    </w:p>
    <w:p w14:paraId="7C2DF8B2" w14:textId="77777777" w:rsidR="00306FA2" w:rsidRPr="006A3ACB" w:rsidRDefault="4FFD3935" w:rsidP="00306FA2">
      <w:pPr>
        <w:pStyle w:val="Bullet1"/>
        <w:rPr>
          <w:b/>
          <w:bCs/>
          <w:color w:val="964091"/>
          <w:u w:val="single"/>
        </w:rPr>
      </w:pPr>
      <w:hyperlink r:id="rId45">
        <w:r w:rsidRPr="0184682A">
          <w:rPr>
            <w:rStyle w:val="Hyperlink"/>
          </w:rPr>
          <w:t>Immunisation against Infectious Disease [Green Book] COVID-19</w:t>
        </w:r>
      </w:hyperlink>
      <w:r>
        <w:t xml:space="preserve"> </w:t>
      </w:r>
    </w:p>
    <w:p w14:paraId="58019553" w14:textId="1B37D180" w:rsidR="0000046A" w:rsidRPr="00677CEE" w:rsidRDefault="009E28FF" w:rsidP="0000046A">
      <w:pPr>
        <w:pStyle w:val="Bullet1"/>
        <w:rPr>
          <w:rStyle w:val="Hyperlink"/>
          <w:u w:val="single"/>
        </w:rPr>
      </w:pPr>
      <w:hyperlink r:id="rId46">
        <w:r>
          <w:rPr>
            <w:rStyle w:val="Hyperlink"/>
          </w:rPr>
          <w:t>Comirnaty JN.1 30 micrograms/dose dispersion for injection COVID-19 mRNA vaccine Summary of Product Characteristics</w:t>
        </w:r>
      </w:hyperlink>
    </w:p>
    <w:p w14:paraId="70FFB09E" w14:textId="3687F9E5" w:rsidR="00817C59" w:rsidRPr="000D0BE1" w:rsidRDefault="000D0BE1" w:rsidP="0000046A">
      <w:pPr>
        <w:pStyle w:val="Bullet1"/>
        <w:rPr>
          <w:rStyle w:val="Hyperlink"/>
        </w:rPr>
      </w:pPr>
      <w:r>
        <w:rPr>
          <w:b/>
          <w:bCs/>
        </w:rPr>
        <w:fldChar w:fldCharType="begin"/>
      </w:r>
      <w:r>
        <w:rPr>
          <w:b/>
          <w:bCs/>
        </w:rPr>
        <w:instrText>HYPERLINK "https://www.medicines.org.uk/emc/product/15914/smpc"</w:instrText>
      </w:r>
      <w:r>
        <w:rPr>
          <w:b/>
          <w:bCs/>
        </w:rPr>
      </w:r>
      <w:r>
        <w:rPr>
          <w:b/>
          <w:bCs/>
        </w:rPr>
        <w:fldChar w:fldCharType="separate"/>
      </w:r>
      <w:r w:rsidR="7A501BA4" w:rsidRPr="000D0BE1">
        <w:rPr>
          <w:rStyle w:val="Hyperlink"/>
        </w:rPr>
        <w:t xml:space="preserve">Spikevax </w:t>
      </w:r>
      <w:r w:rsidR="004C638F" w:rsidRPr="000D0BE1">
        <w:rPr>
          <w:rStyle w:val="Hyperlink"/>
        </w:rPr>
        <w:t>JN.1</w:t>
      </w:r>
      <w:r w:rsidR="379539B4" w:rsidRPr="000D0BE1">
        <w:rPr>
          <w:rStyle w:val="Hyperlink"/>
        </w:rPr>
        <w:t xml:space="preserve"> (50 micrograms/dose) </w:t>
      </w:r>
      <w:r w:rsidR="51454FE6" w:rsidRPr="000D0BE1">
        <w:rPr>
          <w:rStyle w:val="Hyperlink"/>
        </w:rPr>
        <w:t>COVID-1</w:t>
      </w:r>
      <w:r w:rsidR="547E0D05" w:rsidRPr="000D0BE1">
        <w:rPr>
          <w:rStyle w:val="Hyperlink"/>
        </w:rPr>
        <w:t xml:space="preserve">9 mRNA vaccine </w:t>
      </w:r>
      <w:r w:rsidR="00870578" w:rsidRPr="000D0BE1">
        <w:rPr>
          <w:rStyle w:val="Hyperlink"/>
        </w:rPr>
        <w:t xml:space="preserve">dispersion for injection </w:t>
      </w:r>
      <w:r w:rsidR="547E0D05" w:rsidRPr="000D0BE1">
        <w:rPr>
          <w:rStyle w:val="Hyperlink"/>
        </w:rPr>
        <w:t>Summary of Product Characteristics</w:t>
      </w:r>
    </w:p>
    <w:p w14:paraId="55605E2F" w14:textId="7AB59877" w:rsidR="00306FA2" w:rsidRDefault="000D0BE1" w:rsidP="00306FA2">
      <w:pPr>
        <w:pStyle w:val="Bullet1"/>
        <w:rPr>
          <w:rStyle w:val="Hyperlink"/>
        </w:rPr>
      </w:pPr>
      <w:r>
        <w:rPr>
          <w:b/>
          <w:bCs/>
        </w:rPr>
        <w:fldChar w:fldCharType="end"/>
      </w:r>
      <w:hyperlink r:id="rId47">
        <w:r w:rsidR="4FFD3935" w:rsidRPr="0184682A">
          <w:rPr>
            <w:rStyle w:val="Hyperlink"/>
          </w:rPr>
          <w:t>Educational resources for registered professionals produced by National Education for Scotland</w:t>
        </w:r>
      </w:hyperlink>
      <w:r w:rsidR="4FFD3935">
        <w:t xml:space="preserve"> </w:t>
      </w:r>
    </w:p>
    <w:p w14:paraId="6D0A1088" w14:textId="77777777" w:rsidR="00306FA2" w:rsidRPr="00BD2CFB" w:rsidRDefault="00306FA2" w:rsidP="00306FA2">
      <w:pPr>
        <w:pStyle w:val="Bullet1"/>
      </w:pPr>
      <w:r w:rsidRPr="00730985">
        <w:t>All relevant JCVI statements</w:t>
      </w:r>
      <w:r>
        <w:t>.</w:t>
      </w:r>
    </w:p>
    <w:p w14:paraId="36291AFB" w14:textId="136602C4" w:rsidR="00306FA2" w:rsidRDefault="00306FA2" w:rsidP="00306FA2">
      <w:pPr>
        <w:pStyle w:val="Bullet1"/>
      </w:pPr>
      <w:r w:rsidRPr="00BD2CFB">
        <w:t xml:space="preserve">All relevant Scottish Government </w:t>
      </w:r>
      <w:r w:rsidRPr="005C2149">
        <w:t>advice</w:t>
      </w:r>
      <w:r w:rsidRPr="00BD2CFB">
        <w:t xml:space="preserve"> including the </w:t>
      </w:r>
      <w:hyperlink r:id="rId48" w:history="1">
        <w:r w:rsidRPr="00A148D6">
          <w:rPr>
            <w:rStyle w:val="Hyperlink"/>
          </w:rPr>
          <w:t>relevant CMO letter(s).</w:t>
        </w:r>
      </w:hyperlink>
    </w:p>
    <w:p w14:paraId="1773E192" w14:textId="42683F18" w:rsidR="00D85E24" w:rsidRPr="003804D9" w:rsidRDefault="00EB00A4" w:rsidP="00D85E24">
      <w:pPr>
        <w:pStyle w:val="Bullet1"/>
      </w:pPr>
      <w:hyperlink r:id="rId49" w:history="1">
        <w:r>
          <w:rPr>
            <w:rStyle w:val="Hyperlink"/>
          </w:rPr>
          <w:t>Scottish Haematology Society advice on the revaccination of patients following haematopoietic stem cell transplant or CAR-T treatment</w:t>
        </w:r>
      </w:hyperlink>
    </w:p>
    <w:p w14:paraId="7ECBE378" w14:textId="77777777" w:rsidR="00D85E24" w:rsidRPr="00AF46FD" w:rsidRDefault="00D85E24" w:rsidP="00D85E24">
      <w:pPr>
        <w:pStyle w:val="Bullet1"/>
        <w:numPr>
          <w:ilvl w:val="0"/>
          <w:numId w:val="0"/>
        </w:numPr>
        <w:ind w:left="680"/>
      </w:pPr>
    </w:p>
    <w:p w14:paraId="79E4FE36" w14:textId="77777777" w:rsidR="00DA1C5F" w:rsidRDefault="00DA1C5F" w:rsidP="00AB0667">
      <w:pPr>
        <w:pStyle w:val="Bullet1"/>
      </w:pPr>
      <w:r>
        <w:br w:type="page"/>
      </w:r>
    </w:p>
    <w:p w14:paraId="60F9447E" w14:textId="27A74A0E" w:rsidR="00AB0667" w:rsidRDefault="00AB0667" w:rsidP="00773915">
      <w:pPr>
        <w:pStyle w:val="NormalH1"/>
      </w:pPr>
      <w:bookmarkStart w:id="55" w:name="_Toc193362809"/>
      <w:r w:rsidRPr="00773915">
        <w:rPr>
          <w:rStyle w:val="NormalH1Char"/>
          <w:b/>
          <w:bCs/>
        </w:rPr>
        <w:lastRenderedPageBreak/>
        <w:t xml:space="preserve">7. </w:t>
      </w:r>
      <w:bookmarkStart w:id="56" w:name="_Toc124848782"/>
      <w:r w:rsidR="007639B5" w:rsidRPr="00773915">
        <w:rPr>
          <w:rStyle w:val="NormalH1Char"/>
          <w:b/>
          <w:bCs/>
        </w:rPr>
        <w:t xml:space="preserve">PGD for </w:t>
      </w:r>
      <w:bookmarkEnd w:id="56"/>
      <w:r w:rsidR="00DE28C1" w:rsidRPr="00773915">
        <w:rPr>
          <w:rStyle w:val="NormalH1Char"/>
          <w:b/>
          <w:bCs/>
        </w:rPr>
        <w:t>administration of</w:t>
      </w:r>
      <w:r w:rsidR="00567246" w:rsidRPr="00567246">
        <w:t xml:space="preserve"> </w:t>
      </w:r>
      <w:r w:rsidR="00567246" w:rsidRPr="00567246">
        <w:rPr>
          <w:rStyle w:val="NormalH1Char"/>
          <w:b/>
          <w:bCs/>
        </w:rPr>
        <w:t xml:space="preserve">COVID-19 </w:t>
      </w:r>
      <w:r w:rsidR="005C1C38">
        <w:rPr>
          <w:rStyle w:val="NormalH1Char"/>
          <w:b/>
          <w:bCs/>
        </w:rPr>
        <w:t xml:space="preserve">mRNA </w:t>
      </w:r>
      <w:r w:rsidR="00567246" w:rsidRPr="00567246">
        <w:rPr>
          <w:rStyle w:val="NormalH1Char"/>
          <w:b/>
          <w:bCs/>
        </w:rPr>
        <w:t xml:space="preserve">vaccines to individuals aged 18 years and over </w:t>
      </w:r>
      <w:r w:rsidR="00DE28C1" w:rsidRPr="00DE28C1">
        <w:t xml:space="preserve">Version </w:t>
      </w:r>
      <w:r w:rsidR="00D469AB">
        <w:t>5</w:t>
      </w:r>
      <w:r w:rsidR="00D85E24">
        <w:t>.0</w:t>
      </w:r>
      <w:r w:rsidR="00DE28C1" w:rsidRPr="00DE28C1">
        <w:t xml:space="preserve"> (valid from</w:t>
      </w:r>
      <w:r w:rsidR="00DC1154">
        <w:t xml:space="preserve"> </w:t>
      </w:r>
      <w:r w:rsidR="00D469AB">
        <w:t>1</w:t>
      </w:r>
      <w:r w:rsidR="00A875A1">
        <w:t>9</w:t>
      </w:r>
      <w:r w:rsidR="007C774A">
        <w:t xml:space="preserve"> March</w:t>
      </w:r>
      <w:r w:rsidR="00DE4562" w:rsidRPr="00DE28C1">
        <w:t xml:space="preserve"> </w:t>
      </w:r>
      <w:r w:rsidR="00DE28C1" w:rsidRPr="00DE28C1">
        <w:t>202</w:t>
      </w:r>
      <w:r w:rsidR="00D469AB">
        <w:t>5</w:t>
      </w:r>
      <w:r w:rsidR="00DE28C1" w:rsidRPr="00DE28C1">
        <w:t xml:space="preserve"> and expires 3</w:t>
      </w:r>
      <w:r w:rsidR="00D469AB">
        <w:t>0</w:t>
      </w:r>
      <w:r w:rsidR="00DE28C1" w:rsidRPr="00DE28C1">
        <w:t xml:space="preserve"> </w:t>
      </w:r>
      <w:r w:rsidR="00D469AB">
        <w:t>September</w:t>
      </w:r>
      <w:r w:rsidR="00DE28C1" w:rsidRPr="00DE28C1">
        <w:t xml:space="preserve"> 202</w:t>
      </w:r>
      <w:r w:rsidR="00275F10">
        <w:t>5</w:t>
      </w:r>
      <w:r w:rsidR="00DE28C1" w:rsidRPr="00DE28C1">
        <w:t>): authorisation</w:t>
      </w:r>
      <w:bookmarkEnd w:id="55"/>
    </w:p>
    <w:p w14:paraId="55C58D22" w14:textId="77777777" w:rsidR="008F428A" w:rsidRDefault="008F428A" w:rsidP="00AB0667">
      <w:pPr>
        <w:pStyle w:val="NormalH2"/>
      </w:pPr>
      <w:r w:rsidRPr="008F428A">
        <w:t>Practitioner</w:t>
      </w:r>
    </w:p>
    <w:p w14:paraId="16C438C1" w14:textId="77777777" w:rsidR="00E573E0" w:rsidRDefault="00E573E0" w:rsidP="004D1B01">
      <w:r w:rsidRPr="00B47942">
        <w:t>This PGD does not remove professional obligations and accountability. It is the responsibility of each professional to practice within the bounds of their own competence and in accordance with their Code of Professional Conduct and to ensure familiarity with the marketing authorisation holder’s summary of product characteristics for all vaccines administered in accordance with this PGD.</w:t>
      </w:r>
    </w:p>
    <w:p w14:paraId="00C21112" w14:textId="47330C77" w:rsidR="00E573E0" w:rsidRPr="00B47942" w:rsidRDefault="00E573E0" w:rsidP="00E573E0">
      <w:r w:rsidRPr="007209C7">
        <w:t>By signing this P</w:t>
      </w:r>
      <w:r>
        <w:t xml:space="preserve">atient </w:t>
      </w:r>
      <w:r w:rsidRPr="007209C7">
        <w:t>G</w:t>
      </w:r>
      <w:r>
        <w:t xml:space="preserve">roup </w:t>
      </w:r>
      <w:r w:rsidRPr="007209C7">
        <w:t>D</w:t>
      </w:r>
      <w:r>
        <w:t>irection</w:t>
      </w:r>
      <w:r w:rsidR="004C0891">
        <w:t>,</w:t>
      </w:r>
      <w:r w:rsidRPr="007209C7">
        <w:t xml:space="preserve"> you are indicating that you agree to its contents and that you will work within it.</w:t>
      </w:r>
      <w:r>
        <w:t xml:space="preserve"> </w:t>
      </w:r>
      <w:r w:rsidRPr="00B47942">
        <w:t>I agree to administer</w:t>
      </w:r>
      <w:r>
        <w:t xml:space="preserve"> </w:t>
      </w:r>
      <w:r w:rsidR="0029043B" w:rsidRPr="0029043B">
        <w:rPr>
          <w:lang w:val="en-US"/>
        </w:rPr>
        <w:t xml:space="preserve">COVID-19 vaccines to individuals aged 18 years and over </w:t>
      </w:r>
      <w:r w:rsidRPr="00B47942">
        <w:t>only in accordance with this PGD.</w:t>
      </w:r>
    </w:p>
    <w:tbl>
      <w:tblPr>
        <w:tblStyle w:val="TableGrid"/>
        <w:tblW w:w="0" w:type="auto"/>
        <w:tblLook w:val="04A0" w:firstRow="1" w:lastRow="0" w:firstColumn="1" w:lastColumn="0" w:noHBand="0" w:noVBand="1"/>
      </w:tblPr>
      <w:tblGrid>
        <w:gridCol w:w="3560"/>
        <w:gridCol w:w="3392"/>
        <w:gridCol w:w="2108"/>
      </w:tblGrid>
      <w:tr w:rsidR="002A368C" w:rsidRPr="002A368C" w14:paraId="7F04778B" w14:textId="77777777" w:rsidTr="00A456A9">
        <w:trPr>
          <w:cnfStyle w:val="100000000000" w:firstRow="1" w:lastRow="0" w:firstColumn="0" w:lastColumn="0" w:oddVBand="0" w:evenVBand="0" w:oddHBand="0" w:evenHBand="0" w:firstRowFirstColumn="0" w:firstRowLastColumn="0" w:lastRowFirstColumn="0" w:lastRowLastColumn="0"/>
        </w:trPr>
        <w:tc>
          <w:tcPr>
            <w:tcW w:w="3560" w:type="dxa"/>
          </w:tcPr>
          <w:p w14:paraId="3015818F" w14:textId="77777777" w:rsidR="002A368C" w:rsidRPr="002A368C" w:rsidRDefault="002A368C" w:rsidP="002A368C">
            <w:pPr>
              <w:pStyle w:val="TableHead"/>
            </w:pPr>
            <w:r w:rsidRPr="002A368C">
              <w:t>Name of professional</w:t>
            </w:r>
          </w:p>
        </w:tc>
        <w:tc>
          <w:tcPr>
            <w:tcW w:w="3392" w:type="dxa"/>
          </w:tcPr>
          <w:p w14:paraId="44181042" w14:textId="77777777" w:rsidR="002A368C" w:rsidRPr="002A368C" w:rsidRDefault="002A368C" w:rsidP="002A368C">
            <w:pPr>
              <w:pStyle w:val="TableHead"/>
            </w:pPr>
            <w:r w:rsidRPr="002A368C">
              <w:t>Signature</w:t>
            </w:r>
          </w:p>
        </w:tc>
        <w:tc>
          <w:tcPr>
            <w:tcW w:w="2108" w:type="dxa"/>
          </w:tcPr>
          <w:p w14:paraId="6A3499FD" w14:textId="77777777" w:rsidR="002A368C" w:rsidRPr="002A368C" w:rsidRDefault="002A368C" w:rsidP="002A368C">
            <w:pPr>
              <w:pStyle w:val="TableHead"/>
            </w:pPr>
            <w:r w:rsidRPr="002A368C">
              <w:t>Date</w:t>
            </w:r>
          </w:p>
        </w:tc>
      </w:tr>
      <w:tr w:rsidR="002A368C" w:rsidRPr="002A368C" w14:paraId="1D163200" w14:textId="77777777" w:rsidTr="00A456A9">
        <w:tblPrEx>
          <w:tblCellMar>
            <w:top w:w="0" w:type="dxa"/>
            <w:bottom w:w="0" w:type="dxa"/>
          </w:tblCellMar>
        </w:tblPrEx>
        <w:tc>
          <w:tcPr>
            <w:tcW w:w="3560" w:type="dxa"/>
          </w:tcPr>
          <w:p w14:paraId="696AFA44" w14:textId="77777777" w:rsidR="002A368C" w:rsidRPr="002A368C" w:rsidRDefault="002A368C" w:rsidP="002A368C">
            <w:pPr>
              <w:pStyle w:val="TableBody"/>
            </w:pPr>
          </w:p>
        </w:tc>
        <w:tc>
          <w:tcPr>
            <w:tcW w:w="3392" w:type="dxa"/>
          </w:tcPr>
          <w:p w14:paraId="480FFCC3" w14:textId="77777777" w:rsidR="002A368C" w:rsidRPr="002A368C" w:rsidRDefault="002A368C" w:rsidP="002A368C">
            <w:pPr>
              <w:pStyle w:val="TableBody"/>
            </w:pPr>
          </w:p>
        </w:tc>
        <w:tc>
          <w:tcPr>
            <w:tcW w:w="2108" w:type="dxa"/>
          </w:tcPr>
          <w:p w14:paraId="28609A8F" w14:textId="77777777" w:rsidR="002A368C" w:rsidRPr="002A368C" w:rsidRDefault="002A368C" w:rsidP="002A368C">
            <w:pPr>
              <w:pStyle w:val="TableBody"/>
            </w:pPr>
          </w:p>
        </w:tc>
      </w:tr>
      <w:tr w:rsidR="008C552F" w:rsidRPr="002A368C" w14:paraId="2DA5241C" w14:textId="77777777" w:rsidTr="00A456A9">
        <w:tblPrEx>
          <w:tblCellMar>
            <w:top w:w="0" w:type="dxa"/>
            <w:bottom w:w="0" w:type="dxa"/>
          </w:tblCellMar>
        </w:tblPrEx>
        <w:tc>
          <w:tcPr>
            <w:tcW w:w="3560" w:type="dxa"/>
          </w:tcPr>
          <w:p w14:paraId="7788D980" w14:textId="77777777" w:rsidR="008C552F" w:rsidRPr="002A368C" w:rsidRDefault="008C552F" w:rsidP="002A368C">
            <w:pPr>
              <w:pStyle w:val="TableBody"/>
            </w:pPr>
          </w:p>
        </w:tc>
        <w:tc>
          <w:tcPr>
            <w:tcW w:w="3392" w:type="dxa"/>
          </w:tcPr>
          <w:p w14:paraId="580D09D8" w14:textId="77777777" w:rsidR="008C552F" w:rsidRPr="002A368C" w:rsidRDefault="008C552F" w:rsidP="002A368C">
            <w:pPr>
              <w:pStyle w:val="TableBody"/>
            </w:pPr>
          </w:p>
        </w:tc>
        <w:tc>
          <w:tcPr>
            <w:tcW w:w="2108" w:type="dxa"/>
          </w:tcPr>
          <w:p w14:paraId="073F9789" w14:textId="77777777" w:rsidR="008C552F" w:rsidRPr="002A368C" w:rsidRDefault="008C552F" w:rsidP="002A368C">
            <w:pPr>
              <w:pStyle w:val="TableBody"/>
            </w:pPr>
          </w:p>
        </w:tc>
      </w:tr>
      <w:tr w:rsidR="008C552F" w:rsidRPr="002A368C" w14:paraId="69AA7465" w14:textId="77777777" w:rsidTr="00A456A9">
        <w:tblPrEx>
          <w:tblCellMar>
            <w:top w:w="0" w:type="dxa"/>
            <w:bottom w:w="0" w:type="dxa"/>
          </w:tblCellMar>
        </w:tblPrEx>
        <w:tc>
          <w:tcPr>
            <w:tcW w:w="3560" w:type="dxa"/>
          </w:tcPr>
          <w:p w14:paraId="336708A2" w14:textId="77777777" w:rsidR="008C552F" w:rsidRPr="002A368C" w:rsidRDefault="008C552F" w:rsidP="002A368C">
            <w:pPr>
              <w:pStyle w:val="TableBody"/>
            </w:pPr>
          </w:p>
        </w:tc>
        <w:tc>
          <w:tcPr>
            <w:tcW w:w="3392" w:type="dxa"/>
          </w:tcPr>
          <w:p w14:paraId="12C30D1D" w14:textId="77777777" w:rsidR="008C552F" w:rsidRPr="002A368C" w:rsidRDefault="008C552F" w:rsidP="002A368C">
            <w:pPr>
              <w:pStyle w:val="TableBody"/>
            </w:pPr>
          </w:p>
        </w:tc>
        <w:tc>
          <w:tcPr>
            <w:tcW w:w="2108" w:type="dxa"/>
          </w:tcPr>
          <w:p w14:paraId="5FDAD857" w14:textId="77777777" w:rsidR="008C552F" w:rsidRPr="002A368C" w:rsidRDefault="008C552F" w:rsidP="002A368C">
            <w:pPr>
              <w:pStyle w:val="TableBody"/>
            </w:pPr>
          </w:p>
        </w:tc>
      </w:tr>
      <w:tr w:rsidR="008C552F" w:rsidRPr="002A368C" w14:paraId="65ABFAB7" w14:textId="77777777" w:rsidTr="00A456A9">
        <w:tblPrEx>
          <w:tblCellMar>
            <w:top w:w="0" w:type="dxa"/>
            <w:bottom w:w="0" w:type="dxa"/>
          </w:tblCellMar>
        </w:tblPrEx>
        <w:tc>
          <w:tcPr>
            <w:tcW w:w="3560" w:type="dxa"/>
          </w:tcPr>
          <w:p w14:paraId="4B402B05" w14:textId="77777777" w:rsidR="008C552F" w:rsidRPr="002A368C" w:rsidRDefault="008C552F" w:rsidP="002A368C">
            <w:pPr>
              <w:pStyle w:val="TableBody"/>
            </w:pPr>
          </w:p>
        </w:tc>
        <w:tc>
          <w:tcPr>
            <w:tcW w:w="3392" w:type="dxa"/>
          </w:tcPr>
          <w:p w14:paraId="77BF40F8" w14:textId="77777777" w:rsidR="008C552F" w:rsidRPr="002A368C" w:rsidRDefault="008C552F" w:rsidP="002A368C">
            <w:pPr>
              <w:pStyle w:val="TableBody"/>
            </w:pPr>
          </w:p>
        </w:tc>
        <w:tc>
          <w:tcPr>
            <w:tcW w:w="2108" w:type="dxa"/>
          </w:tcPr>
          <w:p w14:paraId="7F2C6858" w14:textId="77777777" w:rsidR="008C552F" w:rsidRPr="002A368C" w:rsidRDefault="008C552F" w:rsidP="002A368C">
            <w:pPr>
              <w:pStyle w:val="TableBody"/>
            </w:pPr>
          </w:p>
        </w:tc>
      </w:tr>
      <w:tr w:rsidR="008C552F" w:rsidRPr="002A368C" w14:paraId="72BC895E" w14:textId="77777777" w:rsidTr="00A456A9">
        <w:tblPrEx>
          <w:tblCellMar>
            <w:top w:w="0" w:type="dxa"/>
            <w:bottom w:w="0" w:type="dxa"/>
          </w:tblCellMar>
        </w:tblPrEx>
        <w:tc>
          <w:tcPr>
            <w:tcW w:w="3560" w:type="dxa"/>
          </w:tcPr>
          <w:p w14:paraId="11BE3D56" w14:textId="77777777" w:rsidR="008C552F" w:rsidRPr="002A368C" w:rsidRDefault="008C552F" w:rsidP="002A368C">
            <w:pPr>
              <w:pStyle w:val="TableBody"/>
            </w:pPr>
          </w:p>
        </w:tc>
        <w:tc>
          <w:tcPr>
            <w:tcW w:w="3392" w:type="dxa"/>
          </w:tcPr>
          <w:p w14:paraId="4A43D393" w14:textId="77777777" w:rsidR="008C552F" w:rsidRPr="002A368C" w:rsidRDefault="008C552F" w:rsidP="002A368C">
            <w:pPr>
              <w:pStyle w:val="TableBody"/>
            </w:pPr>
          </w:p>
        </w:tc>
        <w:tc>
          <w:tcPr>
            <w:tcW w:w="2108" w:type="dxa"/>
          </w:tcPr>
          <w:p w14:paraId="2718853F" w14:textId="77777777" w:rsidR="008C552F" w:rsidRPr="002A368C" w:rsidRDefault="008C552F" w:rsidP="002A368C">
            <w:pPr>
              <w:pStyle w:val="TableBody"/>
            </w:pPr>
          </w:p>
        </w:tc>
      </w:tr>
      <w:tr w:rsidR="002A368C" w:rsidRPr="002A368C" w14:paraId="098F940A" w14:textId="77777777" w:rsidTr="00A456A9">
        <w:tblPrEx>
          <w:tblCellMar>
            <w:top w:w="0" w:type="dxa"/>
            <w:bottom w:w="0" w:type="dxa"/>
          </w:tblCellMar>
        </w:tblPrEx>
        <w:tc>
          <w:tcPr>
            <w:tcW w:w="3560" w:type="dxa"/>
          </w:tcPr>
          <w:p w14:paraId="45EEBFED" w14:textId="77777777" w:rsidR="002A368C" w:rsidRPr="002A368C" w:rsidRDefault="002A368C" w:rsidP="002A368C">
            <w:pPr>
              <w:pStyle w:val="TableBody"/>
            </w:pPr>
          </w:p>
        </w:tc>
        <w:tc>
          <w:tcPr>
            <w:tcW w:w="3392" w:type="dxa"/>
          </w:tcPr>
          <w:p w14:paraId="7345CCC6" w14:textId="77777777" w:rsidR="002A368C" w:rsidRPr="002A368C" w:rsidRDefault="002A368C" w:rsidP="002A368C">
            <w:pPr>
              <w:pStyle w:val="TableBody"/>
            </w:pPr>
          </w:p>
        </w:tc>
        <w:tc>
          <w:tcPr>
            <w:tcW w:w="2108" w:type="dxa"/>
          </w:tcPr>
          <w:p w14:paraId="57CDB46D" w14:textId="77777777" w:rsidR="002A368C" w:rsidRPr="002A368C" w:rsidRDefault="002A368C" w:rsidP="002A368C">
            <w:pPr>
              <w:pStyle w:val="TableBody"/>
            </w:pPr>
          </w:p>
        </w:tc>
      </w:tr>
      <w:tr w:rsidR="002A368C" w:rsidRPr="002A368C" w14:paraId="0DE47817" w14:textId="77777777" w:rsidTr="00A456A9">
        <w:tblPrEx>
          <w:tblCellMar>
            <w:top w:w="0" w:type="dxa"/>
            <w:bottom w:w="0" w:type="dxa"/>
          </w:tblCellMar>
        </w:tblPrEx>
        <w:tc>
          <w:tcPr>
            <w:tcW w:w="3560" w:type="dxa"/>
          </w:tcPr>
          <w:p w14:paraId="642F0053" w14:textId="77777777" w:rsidR="002A368C" w:rsidRPr="002A368C" w:rsidRDefault="002A368C" w:rsidP="002A368C">
            <w:pPr>
              <w:pStyle w:val="TableBody"/>
            </w:pPr>
          </w:p>
        </w:tc>
        <w:tc>
          <w:tcPr>
            <w:tcW w:w="3392" w:type="dxa"/>
          </w:tcPr>
          <w:p w14:paraId="7A2C4EEF" w14:textId="77777777" w:rsidR="002A368C" w:rsidRPr="002A368C" w:rsidRDefault="002A368C" w:rsidP="002A368C">
            <w:pPr>
              <w:pStyle w:val="TableBody"/>
            </w:pPr>
          </w:p>
        </w:tc>
        <w:tc>
          <w:tcPr>
            <w:tcW w:w="2108" w:type="dxa"/>
          </w:tcPr>
          <w:p w14:paraId="10DD1E6A" w14:textId="77777777" w:rsidR="002A368C" w:rsidRPr="002A368C" w:rsidRDefault="002A368C" w:rsidP="002A368C">
            <w:pPr>
              <w:pStyle w:val="TableBody"/>
            </w:pPr>
          </w:p>
        </w:tc>
      </w:tr>
      <w:tr w:rsidR="002A368C" w:rsidRPr="002A368C" w14:paraId="2A942C3F" w14:textId="77777777" w:rsidTr="00A456A9">
        <w:tblPrEx>
          <w:tblCellMar>
            <w:top w:w="0" w:type="dxa"/>
            <w:bottom w:w="0" w:type="dxa"/>
          </w:tblCellMar>
        </w:tblPrEx>
        <w:tc>
          <w:tcPr>
            <w:tcW w:w="3560" w:type="dxa"/>
          </w:tcPr>
          <w:p w14:paraId="10DFCAF2" w14:textId="77777777" w:rsidR="002A368C" w:rsidRPr="002A368C" w:rsidRDefault="002A368C" w:rsidP="002A368C">
            <w:pPr>
              <w:pStyle w:val="TableBody"/>
            </w:pPr>
          </w:p>
        </w:tc>
        <w:tc>
          <w:tcPr>
            <w:tcW w:w="3392" w:type="dxa"/>
          </w:tcPr>
          <w:p w14:paraId="74796F6A" w14:textId="77777777" w:rsidR="002A368C" w:rsidRPr="002A368C" w:rsidRDefault="002A368C" w:rsidP="002A368C">
            <w:pPr>
              <w:pStyle w:val="TableBody"/>
            </w:pPr>
          </w:p>
        </w:tc>
        <w:tc>
          <w:tcPr>
            <w:tcW w:w="2108" w:type="dxa"/>
          </w:tcPr>
          <w:p w14:paraId="71B43CFA" w14:textId="77777777" w:rsidR="002A368C" w:rsidRPr="002A368C" w:rsidRDefault="002A368C" w:rsidP="002A368C">
            <w:pPr>
              <w:pStyle w:val="TableBody"/>
            </w:pPr>
          </w:p>
        </w:tc>
      </w:tr>
      <w:tr w:rsidR="00A2561E" w:rsidRPr="002A368C" w14:paraId="226300A0" w14:textId="77777777" w:rsidTr="00A456A9">
        <w:tblPrEx>
          <w:tblCellMar>
            <w:top w:w="0" w:type="dxa"/>
            <w:bottom w:w="0" w:type="dxa"/>
          </w:tblCellMar>
        </w:tblPrEx>
        <w:tc>
          <w:tcPr>
            <w:tcW w:w="3560" w:type="dxa"/>
          </w:tcPr>
          <w:p w14:paraId="1172363F" w14:textId="77777777" w:rsidR="00A2561E" w:rsidRPr="002A368C" w:rsidRDefault="00A2561E" w:rsidP="002A368C">
            <w:pPr>
              <w:pStyle w:val="TableBody"/>
            </w:pPr>
          </w:p>
        </w:tc>
        <w:tc>
          <w:tcPr>
            <w:tcW w:w="3392" w:type="dxa"/>
          </w:tcPr>
          <w:p w14:paraId="6597BBB1" w14:textId="77777777" w:rsidR="00A2561E" w:rsidRPr="002A368C" w:rsidRDefault="00A2561E" w:rsidP="002A368C">
            <w:pPr>
              <w:pStyle w:val="TableBody"/>
            </w:pPr>
          </w:p>
        </w:tc>
        <w:tc>
          <w:tcPr>
            <w:tcW w:w="2108" w:type="dxa"/>
          </w:tcPr>
          <w:p w14:paraId="090866F8" w14:textId="77777777" w:rsidR="00A2561E" w:rsidRPr="002A368C" w:rsidRDefault="00A2561E" w:rsidP="002A368C">
            <w:pPr>
              <w:pStyle w:val="TableBody"/>
            </w:pPr>
          </w:p>
        </w:tc>
      </w:tr>
      <w:tr w:rsidR="00A2561E" w:rsidRPr="002A368C" w14:paraId="31AAC595" w14:textId="77777777" w:rsidTr="00A456A9">
        <w:tblPrEx>
          <w:tblCellMar>
            <w:top w:w="0" w:type="dxa"/>
            <w:bottom w:w="0" w:type="dxa"/>
          </w:tblCellMar>
        </w:tblPrEx>
        <w:tc>
          <w:tcPr>
            <w:tcW w:w="3560" w:type="dxa"/>
          </w:tcPr>
          <w:p w14:paraId="4B1BCD5F" w14:textId="77777777" w:rsidR="00A2561E" w:rsidRPr="002A368C" w:rsidRDefault="00A2561E" w:rsidP="002A368C">
            <w:pPr>
              <w:pStyle w:val="TableBody"/>
            </w:pPr>
          </w:p>
        </w:tc>
        <w:tc>
          <w:tcPr>
            <w:tcW w:w="3392" w:type="dxa"/>
          </w:tcPr>
          <w:p w14:paraId="04A287C9" w14:textId="77777777" w:rsidR="00A2561E" w:rsidRPr="002A368C" w:rsidRDefault="00A2561E" w:rsidP="002A368C">
            <w:pPr>
              <w:pStyle w:val="TableBody"/>
            </w:pPr>
          </w:p>
        </w:tc>
        <w:tc>
          <w:tcPr>
            <w:tcW w:w="2108" w:type="dxa"/>
          </w:tcPr>
          <w:p w14:paraId="6A3FEE6D" w14:textId="77777777" w:rsidR="00A2561E" w:rsidRPr="002A368C" w:rsidRDefault="00A2561E" w:rsidP="002A368C">
            <w:pPr>
              <w:pStyle w:val="TableBody"/>
            </w:pPr>
          </w:p>
        </w:tc>
      </w:tr>
      <w:tr w:rsidR="00A2561E" w:rsidRPr="002A368C" w14:paraId="56C4182D" w14:textId="77777777" w:rsidTr="00A456A9">
        <w:tblPrEx>
          <w:tblCellMar>
            <w:top w:w="0" w:type="dxa"/>
            <w:bottom w:w="0" w:type="dxa"/>
          </w:tblCellMar>
        </w:tblPrEx>
        <w:tc>
          <w:tcPr>
            <w:tcW w:w="3560" w:type="dxa"/>
          </w:tcPr>
          <w:p w14:paraId="7F6AB3E0" w14:textId="77777777" w:rsidR="00A2561E" w:rsidRPr="002A368C" w:rsidRDefault="00A2561E" w:rsidP="002A368C">
            <w:pPr>
              <w:pStyle w:val="TableBody"/>
            </w:pPr>
          </w:p>
        </w:tc>
        <w:tc>
          <w:tcPr>
            <w:tcW w:w="3392" w:type="dxa"/>
          </w:tcPr>
          <w:p w14:paraId="3B8394E8" w14:textId="77777777" w:rsidR="00A2561E" w:rsidRPr="002A368C" w:rsidRDefault="00A2561E" w:rsidP="002A368C">
            <w:pPr>
              <w:pStyle w:val="TableBody"/>
            </w:pPr>
          </w:p>
        </w:tc>
        <w:tc>
          <w:tcPr>
            <w:tcW w:w="2108" w:type="dxa"/>
          </w:tcPr>
          <w:p w14:paraId="41F45DED" w14:textId="77777777" w:rsidR="00A2561E" w:rsidRPr="002A368C" w:rsidRDefault="00A2561E" w:rsidP="002A368C">
            <w:pPr>
              <w:pStyle w:val="TableBody"/>
            </w:pPr>
          </w:p>
        </w:tc>
      </w:tr>
      <w:tr w:rsidR="00A2561E" w:rsidRPr="002A368C" w14:paraId="1E5CECF2" w14:textId="77777777" w:rsidTr="00A456A9">
        <w:tblPrEx>
          <w:tblCellMar>
            <w:top w:w="0" w:type="dxa"/>
            <w:bottom w:w="0" w:type="dxa"/>
          </w:tblCellMar>
        </w:tblPrEx>
        <w:tc>
          <w:tcPr>
            <w:tcW w:w="3560" w:type="dxa"/>
          </w:tcPr>
          <w:p w14:paraId="3BE05056" w14:textId="77777777" w:rsidR="00A2561E" w:rsidRPr="002A368C" w:rsidRDefault="00A2561E" w:rsidP="002A368C">
            <w:pPr>
              <w:pStyle w:val="TableBody"/>
            </w:pPr>
          </w:p>
        </w:tc>
        <w:tc>
          <w:tcPr>
            <w:tcW w:w="3392" w:type="dxa"/>
          </w:tcPr>
          <w:p w14:paraId="2776D2DA" w14:textId="77777777" w:rsidR="00A2561E" w:rsidRPr="002A368C" w:rsidRDefault="00A2561E" w:rsidP="002A368C">
            <w:pPr>
              <w:pStyle w:val="TableBody"/>
            </w:pPr>
          </w:p>
        </w:tc>
        <w:tc>
          <w:tcPr>
            <w:tcW w:w="2108" w:type="dxa"/>
          </w:tcPr>
          <w:p w14:paraId="1483C658" w14:textId="77777777" w:rsidR="00A2561E" w:rsidRPr="002A368C" w:rsidRDefault="00A2561E" w:rsidP="002A368C">
            <w:pPr>
              <w:pStyle w:val="TableBody"/>
            </w:pPr>
          </w:p>
        </w:tc>
      </w:tr>
    </w:tbl>
    <w:p w14:paraId="57DC378F" w14:textId="77777777" w:rsidR="00BF2CF7" w:rsidRDefault="00BF2CF7" w:rsidP="00AB0667">
      <w:pPr>
        <w:pStyle w:val="NormalH1"/>
      </w:pPr>
    </w:p>
    <w:p w14:paraId="4855F741" w14:textId="65931D69" w:rsidR="00A456A9" w:rsidRPr="00A456A9" w:rsidRDefault="00A456A9" w:rsidP="007208CC">
      <w:pPr>
        <w:pStyle w:val="NormalH2"/>
      </w:pPr>
      <w:bookmarkStart w:id="57" w:name="_Toc160804492"/>
      <w:bookmarkStart w:id="58" w:name="_Toc160804545"/>
      <w:bookmarkStart w:id="59" w:name="_Toc160804964"/>
      <w:r w:rsidRPr="00A456A9">
        <w:lastRenderedPageBreak/>
        <w:t xml:space="preserve">Authorising </w:t>
      </w:r>
      <w:r w:rsidR="00CD476F">
        <w:t>m</w:t>
      </w:r>
      <w:r w:rsidRPr="00A456A9">
        <w:t>anager</w:t>
      </w:r>
      <w:bookmarkEnd w:id="57"/>
      <w:bookmarkEnd w:id="58"/>
      <w:bookmarkEnd w:id="59"/>
    </w:p>
    <w:p w14:paraId="24FB5D3E" w14:textId="77777777" w:rsidR="00A456A9" w:rsidRPr="00A456A9" w:rsidRDefault="00A456A9" w:rsidP="00A456A9">
      <w:r w:rsidRPr="00A456A9">
        <w:t xml:space="preserve">I confirm that the practitioners named above have declared themselves suitably trained and competent to work under this PGD. I give authorisation on behalf of </w:t>
      </w:r>
      <w:r w:rsidRPr="00A456A9">
        <w:rPr>
          <w:rStyle w:val="Bold"/>
        </w:rPr>
        <w:t>[insert name of organisation]</w:t>
      </w:r>
      <w:r w:rsidRPr="00A456A9">
        <w:t xml:space="preserve"> for the </w:t>
      </w:r>
      <w:r w:rsidR="005F7590" w:rsidRPr="00A456A9">
        <w:t>above-named</w:t>
      </w:r>
      <w:r w:rsidRPr="00A456A9">
        <w:t xml:space="preserve"> health care professionals who have signed the PGD to work under it.</w:t>
      </w:r>
    </w:p>
    <w:p w14:paraId="5A34EB30" w14:textId="77777777" w:rsidR="00A456A9" w:rsidRPr="00A456A9" w:rsidRDefault="00A456A9" w:rsidP="00A456A9">
      <w:r w:rsidRPr="00A456A9">
        <w:t>Lead clinician for the service area</w:t>
      </w:r>
      <w:r w:rsidR="00A2561E">
        <w:t>:</w:t>
      </w:r>
    </w:p>
    <w:p w14:paraId="3B2F7E35" w14:textId="77777777" w:rsidR="00176180" w:rsidRDefault="00A456A9" w:rsidP="00A456A9">
      <w:r w:rsidRPr="00A456A9">
        <w:t>Name …………………………………………………</w:t>
      </w:r>
      <w:r w:rsidR="00615813" w:rsidRPr="00A456A9">
        <w:t>….</w:t>
      </w:r>
    </w:p>
    <w:p w14:paraId="28099511" w14:textId="77777777" w:rsidR="00176180" w:rsidRDefault="00A456A9" w:rsidP="00A456A9">
      <w:r w:rsidRPr="00A456A9">
        <w:t>Signature ……………………………………………</w:t>
      </w:r>
      <w:proofErr w:type="gramStart"/>
      <w:r w:rsidRPr="00A456A9">
        <w:t>…..</w:t>
      </w:r>
      <w:proofErr w:type="gramEnd"/>
    </w:p>
    <w:p w14:paraId="12A8708A" w14:textId="77777777" w:rsidR="00A456A9" w:rsidRPr="00A456A9" w:rsidRDefault="00A456A9" w:rsidP="00A456A9">
      <w:r w:rsidRPr="00A456A9">
        <w:t>Date ………………………………………………………</w:t>
      </w:r>
    </w:p>
    <w:p w14:paraId="62F21CEC" w14:textId="77777777" w:rsidR="00615813" w:rsidRDefault="00A456A9" w:rsidP="00A456A9">
      <w:r w:rsidRPr="00A456A9">
        <w:t xml:space="preserve">Authorised staff should be provided with an individual copy of the clinical content of the PGD and a photocopy of the document showing their authorisation. </w:t>
      </w:r>
    </w:p>
    <w:p w14:paraId="7D4C6BD0" w14:textId="77777777" w:rsidR="0024328C" w:rsidRDefault="00A456A9" w:rsidP="008B26EB">
      <w:r w:rsidRPr="00A456A9">
        <w:t>This authorisation sheet should be retained to serve as a record of those practitioners authorised to work under this PGD.</w:t>
      </w:r>
    </w:p>
    <w:p w14:paraId="77D101D8" w14:textId="77777777" w:rsidR="0024328C" w:rsidRDefault="0024328C">
      <w:r>
        <w:br w:type="page"/>
      </w:r>
    </w:p>
    <w:p w14:paraId="2840C244" w14:textId="77777777" w:rsidR="008F428A" w:rsidRDefault="00AB0667" w:rsidP="00EC3EE6">
      <w:pPr>
        <w:pStyle w:val="NormalH1"/>
      </w:pPr>
      <w:bookmarkStart w:id="60" w:name="_Toc124848783"/>
      <w:bookmarkStart w:id="61" w:name="_Toc193362810"/>
      <w:r w:rsidRPr="00AB0667">
        <w:rPr>
          <w:bCs/>
        </w:rPr>
        <w:lastRenderedPageBreak/>
        <w:t>8.</w:t>
      </w:r>
      <w:r>
        <w:t xml:space="preserve"> </w:t>
      </w:r>
      <w:r w:rsidR="0024328C">
        <w:t xml:space="preserve">Version </w:t>
      </w:r>
      <w:r>
        <w:t>h</w:t>
      </w:r>
      <w:r w:rsidR="0024328C">
        <w:t>istory</w:t>
      </w:r>
      <w:bookmarkEnd w:id="60"/>
      <w:bookmarkEnd w:id="61"/>
    </w:p>
    <w:tbl>
      <w:tblPr>
        <w:tblStyle w:val="TableGrid"/>
        <w:tblW w:w="9773" w:type="dxa"/>
        <w:tblLayout w:type="fixed"/>
        <w:tblLook w:val="0620" w:firstRow="1" w:lastRow="0" w:firstColumn="0" w:lastColumn="0" w:noHBand="1" w:noVBand="1"/>
      </w:tblPr>
      <w:tblGrid>
        <w:gridCol w:w="1040"/>
        <w:gridCol w:w="2357"/>
        <w:gridCol w:w="6376"/>
      </w:tblGrid>
      <w:tr w:rsidR="00814B11" w14:paraId="3EC612CB" w14:textId="77777777" w:rsidTr="00F409FA">
        <w:trPr>
          <w:cnfStyle w:val="100000000000" w:firstRow="1" w:lastRow="0" w:firstColumn="0" w:lastColumn="0" w:oddVBand="0" w:evenVBand="0" w:oddHBand="0" w:evenHBand="0" w:firstRowFirstColumn="0" w:firstRowLastColumn="0" w:lastRowFirstColumn="0" w:lastRowLastColumn="0"/>
          <w:cantSplit/>
          <w:trHeight w:val="397"/>
        </w:trPr>
        <w:tc>
          <w:tcPr>
            <w:tcW w:w="1040" w:type="dxa"/>
          </w:tcPr>
          <w:p w14:paraId="57697BD9" w14:textId="77777777" w:rsidR="00814B11" w:rsidRPr="00DA3DEC" w:rsidRDefault="00814B11" w:rsidP="00D202E2">
            <w:pPr>
              <w:pStyle w:val="TableHead"/>
            </w:pPr>
            <w:r>
              <w:t>Version</w:t>
            </w:r>
          </w:p>
        </w:tc>
        <w:tc>
          <w:tcPr>
            <w:tcW w:w="2357" w:type="dxa"/>
          </w:tcPr>
          <w:p w14:paraId="04C1292C" w14:textId="77777777" w:rsidR="00814B11" w:rsidRPr="00DA3DEC" w:rsidRDefault="00814B11" w:rsidP="00D202E2">
            <w:pPr>
              <w:pStyle w:val="TableHead"/>
            </w:pPr>
            <w:r>
              <w:t>Date</w:t>
            </w:r>
          </w:p>
        </w:tc>
        <w:tc>
          <w:tcPr>
            <w:tcW w:w="6376" w:type="dxa"/>
          </w:tcPr>
          <w:p w14:paraId="015541B3" w14:textId="77777777" w:rsidR="00814B11" w:rsidRPr="00DA3DEC" w:rsidRDefault="00814B11" w:rsidP="00D202E2">
            <w:pPr>
              <w:pStyle w:val="TableHead"/>
            </w:pPr>
            <w:r>
              <w:t>Summary of changes</w:t>
            </w:r>
          </w:p>
        </w:tc>
      </w:tr>
      <w:tr w:rsidR="00F409FA" w:rsidRPr="007F6929" w14:paraId="6C492434" w14:textId="77777777" w:rsidTr="00F409FA">
        <w:tblPrEx>
          <w:tblLook w:val="04A0" w:firstRow="1" w:lastRow="0" w:firstColumn="1" w:lastColumn="0" w:noHBand="0" w:noVBand="1"/>
        </w:tblPrEx>
        <w:trPr>
          <w:trHeight w:val="397"/>
        </w:trPr>
        <w:tc>
          <w:tcPr>
            <w:tcW w:w="1040" w:type="dxa"/>
          </w:tcPr>
          <w:p w14:paraId="6C415D41" w14:textId="77777777" w:rsidR="00F409FA" w:rsidRPr="007F6929" w:rsidRDefault="00F409FA" w:rsidP="004D1B01">
            <w:pPr>
              <w:pStyle w:val="TableBody"/>
            </w:pPr>
            <w:r w:rsidRPr="007F6929">
              <w:t>1.0</w:t>
            </w:r>
          </w:p>
        </w:tc>
        <w:tc>
          <w:tcPr>
            <w:tcW w:w="2357" w:type="dxa"/>
          </w:tcPr>
          <w:p w14:paraId="22A370A4" w14:textId="2AC28272" w:rsidR="00F409FA" w:rsidRPr="007F6929" w:rsidRDefault="0029043B" w:rsidP="004D1B01">
            <w:pPr>
              <w:pStyle w:val="TableBody"/>
            </w:pPr>
            <w:r>
              <w:t>1</w:t>
            </w:r>
            <w:r w:rsidR="00992BA0">
              <w:t xml:space="preserve"> </w:t>
            </w:r>
            <w:r>
              <w:t>September</w:t>
            </w:r>
            <w:r w:rsidR="00F409FA" w:rsidRPr="007F6929">
              <w:t xml:space="preserve"> 202</w:t>
            </w:r>
            <w:r w:rsidR="00F409FA">
              <w:t>3</w:t>
            </w:r>
          </w:p>
        </w:tc>
        <w:tc>
          <w:tcPr>
            <w:tcW w:w="6376" w:type="dxa"/>
          </w:tcPr>
          <w:p w14:paraId="7324F7F3" w14:textId="77777777" w:rsidR="00F409FA" w:rsidRPr="007F6929" w:rsidRDefault="00F409FA" w:rsidP="004D1B01">
            <w:pPr>
              <w:pStyle w:val="TableBody"/>
            </w:pPr>
            <w:r w:rsidRPr="007F6929">
              <w:t>Version 1.0 New PGD</w:t>
            </w:r>
          </w:p>
        </w:tc>
      </w:tr>
      <w:tr w:rsidR="00C215E8" w:rsidRPr="007F6929" w14:paraId="7366DFF5" w14:textId="77777777" w:rsidTr="00F409FA">
        <w:tblPrEx>
          <w:tblLook w:val="04A0" w:firstRow="1" w:lastRow="0" w:firstColumn="1" w:lastColumn="0" w:noHBand="0" w:noVBand="1"/>
        </w:tblPrEx>
        <w:trPr>
          <w:trHeight w:val="397"/>
        </w:trPr>
        <w:tc>
          <w:tcPr>
            <w:tcW w:w="1040" w:type="dxa"/>
          </w:tcPr>
          <w:p w14:paraId="62841E4F" w14:textId="2768072C" w:rsidR="00C215E8" w:rsidRPr="007F6929" w:rsidRDefault="00C215E8" w:rsidP="004D1B01">
            <w:pPr>
              <w:pStyle w:val="TableBody"/>
            </w:pPr>
            <w:r>
              <w:t>2.0</w:t>
            </w:r>
          </w:p>
        </w:tc>
        <w:tc>
          <w:tcPr>
            <w:tcW w:w="2357" w:type="dxa"/>
          </w:tcPr>
          <w:p w14:paraId="018BB590" w14:textId="7BA1DD5B" w:rsidR="00C215E8" w:rsidRDefault="004D791D" w:rsidP="004D1B01">
            <w:pPr>
              <w:pStyle w:val="TableBody"/>
            </w:pPr>
            <w:r>
              <w:t>14</w:t>
            </w:r>
            <w:r w:rsidR="00C215E8" w:rsidRPr="00C215E8">
              <w:t xml:space="preserve"> September 2023</w:t>
            </w:r>
          </w:p>
        </w:tc>
        <w:tc>
          <w:tcPr>
            <w:tcW w:w="6376" w:type="dxa"/>
          </w:tcPr>
          <w:p w14:paraId="3F90BFF7" w14:textId="4C0E93D6" w:rsidR="008069A3" w:rsidRPr="00FB2CF0" w:rsidRDefault="008069A3" w:rsidP="007208CC">
            <w:pPr>
              <w:pStyle w:val="Tablebullet1"/>
            </w:pPr>
            <w:r w:rsidRPr="00FB2CF0">
              <w:t xml:space="preserve">Updated throughout to include </w:t>
            </w:r>
            <w:r w:rsidR="00540346" w:rsidRPr="00FB2CF0">
              <w:t xml:space="preserve">Pfizer </w:t>
            </w:r>
            <w:r w:rsidRPr="00FB2CF0">
              <w:t>XBB.1.5 variant vaccines.</w:t>
            </w:r>
          </w:p>
          <w:p w14:paraId="2F214943" w14:textId="77777777" w:rsidR="008069A3" w:rsidRPr="00FB2CF0" w:rsidRDefault="008069A3" w:rsidP="007208CC">
            <w:pPr>
              <w:pStyle w:val="Tablebullet1"/>
            </w:pPr>
            <w:r w:rsidRPr="00FB2CF0">
              <w:t>Cautions section updated to remove deferral for two weeks after COVID-19 infection.</w:t>
            </w:r>
          </w:p>
          <w:p w14:paraId="2B0463B6" w14:textId="4DF648CD" w:rsidR="008069A3" w:rsidRPr="00FB2CF0" w:rsidRDefault="008069A3" w:rsidP="007208CC">
            <w:pPr>
              <w:pStyle w:val="Tablebullet1"/>
            </w:pPr>
            <w:r w:rsidRPr="00FB2CF0">
              <w:t xml:space="preserve">Frequency section updated to align with Green Book chapter advice on </w:t>
            </w:r>
            <w:r w:rsidRPr="00FB2CF0">
              <w:rPr>
                <w:bCs/>
              </w:rPr>
              <w:t xml:space="preserve">additional doses for </w:t>
            </w:r>
            <w:r w:rsidR="00285FD7">
              <w:rPr>
                <w:bCs/>
              </w:rPr>
              <w:br/>
            </w:r>
            <w:r w:rsidRPr="00FB2CF0">
              <w:rPr>
                <w:bCs/>
              </w:rPr>
              <w:t xml:space="preserve">those identified as meeting the definition for </w:t>
            </w:r>
            <w:r w:rsidR="00285FD7">
              <w:rPr>
                <w:bCs/>
              </w:rPr>
              <w:br/>
            </w:r>
            <w:r w:rsidRPr="00FB2CF0">
              <w:rPr>
                <w:bCs/>
              </w:rPr>
              <w:t>severe immunosuppression.</w:t>
            </w:r>
          </w:p>
          <w:p w14:paraId="26277766" w14:textId="77777777" w:rsidR="004F056B" w:rsidRPr="00FB2CF0" w:rsidRDefault="004F056B" w:rsidP="007208CC">
            <w:pPr>
              <w:pStyle w:val="Tablebullet1"/>
              <w:rPr>
                <w:bCs/>
              </w:rPr>
            </w:pPr>
            <w:r w:rsidRPr="00FB2CF0">
              <w:rPr>
                <w:bCs/>
              </w:rPr>
              <w:t xml:space="preserve">Use </w:t>
            </w:r>
            <w:proofErr w:type="spellStart"/>
            <w:r w:rsidRPr="00FB2CF0">
              <w:rPr>
                <w:bCs/>
              </w:rPr>
              <w:t>outwith</w:t>
            </w:r>
            <w:proofErr w:type="spellEnd"/>
            <w:r w:rsidRPr="00FB2CF0">
              <w:rPr>
                <w:bCs/>
              </w:rPr>
              <w:t xml:space="preserve"> SmPC – updated following change in SmPC for Comirnaty BA4.5 and minor changes to wording on post vaccination observation.</w:t>
            </w:r>
          </w:p>
          <w:p w14:paraId="67C10843" w14:textId="7C53BDFB" w:rsidR="008069A3" w:rsidRPr="00FB2CF0" w:rsidRDefault="008069A3" w:rsidP="007208CC">
            <w:pPr>
              <w:pStyle w:val="Tablebullet1"/>
            </w:pPr>
            <w:r w:rsidRPr="00FB2CF0">
              <w:rPr>
                <w:bCs/>
              </w:rPr>
              <w:t xml:space="preserve">Observation following vaccination section - </w:t>
            </w:r>
            <w:r w:rsidR="00285FD7">
              <w:rPr>
                <w:bCs/>
              </w:rPr>
              <w:br/>
            </w:r>
            <w:r w:rsidRPr="00FB2CF0">
              <w:rPr>
                <w:bCs/>
              </w:rPr>
              <w:t>minor changes.</w:t>
            </w:r>
          </w:p>
        </w:tc>
      </w:tr>
      <w:tr w:rsidR="004D791D" w:rsidRPr="007F6929" w14:paraId="49A6D19E" w14:textId="77777777" w:rsidTr="00F409FA">
        <w:tblPrEx>
          <w:tblLook w:val="04A0" w:firstRow="1" w:lastRow="0" w:firstColumn="1" w:lastColumn="0" w:noHBand="0" w:noVBand="1"/>
        </w:tblPrEx>
        <w:trPr>
          <w:trHeight w:val="397"/>
        </w:trPr>
        <w:tc>
          <w:tcPr>
            <w:tcW w:w="1040" w:type="dxa"/>
          </w:tcPr>
          <w:p w14:paraId="3609FE61" w14:textId="2F820CF5" w:rsidR="004D791D" w:rsidRDefault="004D791D" w:rsidP="004D1B01">
            <w:pPr>
              <w:pStyle w:val="TableBody"/>
            </w:pPr>
            <w:r>
              <w:t>2.1</w:t>
            </w:r>
          </w:p>
        </w:tc>
        <w:tc>
          <w:tcPr>
            <w:tcW w:w="2357" w:type="dxa"/>
          </w:tcPr>
          <w:p w14:paraId="38709CB7" w14:textId="13965CF5" w:rsidR="004D791D" w:rsidRDefault="00CE5335" w:rsidP="004D1B01">
            <w:pPr>
              <w:pStyle w:val="TableBody"/>
            </w:pPr>
            <w:r>
              <w:t>21</w:t>
            </w:r>
            <w:r w:rsidR="00D85E24">
              <w:t xml:space="preserve"> </w:t>
            </w:r>
            <w:r w:rsidR="004D791D">
              <w:t>September 2023</w:t>
            </w:r>
          </w:p>
        </w:tc>
        <w:tc>
          <w:tcPr>
            <w:tcW w:w="6376" w:type="dxa"/>
          </w:tcPr>
          <w:p w14:paraId="5338EB46" w14:textId="3539D9F5" w:rsidR="004D791D" w:rsidRPr="00FB2CF0" w:rsidRDefault="004D791D" w:rsidP="007208CC">
            <w:pPr>
              <w:pStyle w:val="Tablebullet1"/>
            </w:pPr>
            <w:r w:rsidRPr="004D791D">
              <w:t>Updated throughout to include Moderna XBB.1.5 variant vaccine.</w:t>
            </w:r>
          </w:p>
        </w:tc>
      </w:tr>
      <w:tr w:rsidR="00D85E24" w:rsidRPr="007F6929" w14:paraId="2E6B69B7" w14:textId="77777777" w:rsidTr="00F409FA">
        <w:tblPrEx>
          <w:tblLook w:val="04A0" w:firstRow="1" w:lastRow="0" w:firstColumn="1" w:lastColumn="0" w:noHBand="0" w:noVBand="1"/>
        </w:tblPrEx>
        <w:trPr>
          <w:trHeight w:val="397"/>
        </w:trPr>
        <w:tc>
          <w:tcPr>
            <w:tcW w:w="1040" w:type="dxa"/>
          </w:tcPr>
          <w:p w14:paraId="3A56C175" w14:textId="6AF626DD" w:rsidR="00D85E24" w:rsidRDefault="00D85E24" w:rsidP="004D1B01">
            <w:pPr>
              <w:pStyle w:val="TableBody"/>
            </w:pPr>
            <w:r>
              <w:t>3.0</w:t>
            </w:r>
          </w:p>
        </w:tc>
        <w:tc>
          <w:tcPr>
            <w:tcW w:w="2357" w:type="dxa"/>
          </w:tcPr>
          <w:p w14:paraId="2D48795A" w14:textId="5F1952F9" w:rsidR="00D85E24" w:rsidRDefault="00D85E24" w:rsidP="004D1B01">
            <w:pPr>
              <w:pStyle w:val="TableBody"/>
            </w:pPr>
            <w:r>
              <w:t xml:space="preserve">1 </w:t>
            </w:r>
            <w:r w:rsidR="00DE4562">
              <w:t xml:space="preserve">March </w:t>
            </w:r>
            <w:r>
              <w:t>2024</w:t>
            </w:r>
          </w:p>
        </w:tc>
        <w:tc>
          <w:tcPr>
            <w:tcW w:w="6376" w:type="dxa"/>
          </w:tcPr>
          <w:p w14:paraId="725C2F0C" w14:textId="4ADB4B08" w:rsidR="00B941A3" w:rsidRDefault="00B941A3" w:rsidP="00430D7C">
            <w:pPr>
              <w:pStyle w:val="TableBody"/>
              <w:rPr>
                <w:rStyle w:val="eop"/>
                <w:rFonts w:cs="Arial"/>
                <w:color w:val="262626"/>
                <w:shd w:val="clear" w:color="auto" w:fill="FFFFFF"/>
              </w:rPr>
            </w:pPr>
            <w:r>
              <w:rPr>
                <w:rStyle w:val="normaltextrun"/>
                <w:rFonts w:cs="Arial"/>
                <w:color w:val="262626"/>
                <w:shd w:val="clear" w:color="auto" w:fill="FFFFFF"/>
              </w:rPr>
              <w:t>The following changes to version 2.1 of the PGD have been made:</w:t>
            </w:r>
            <w:r>
              <w:rPr>
                <w:rStyle w:val="eop"/>
                <w:rFonts w:cs="Arial"/>
                <w:color w:val="262626"/>
                <w:shd w:val="clear" w:color="auto" w:fill="FFFFFF"/>
              </w:rPr>
              <w:t> </w:t>
            </w:r>
          </w:p>
          <w:p w14:paraId="3F5824AA" w14:textId="353D8824" w:rsidR="00A956F0" w:rsidRDefault="00A956F0" w:rsidP="00B941A3">
            <w:pPr>
              <w:pStyle w:val="Tablebullet1"/>
              <w:rPr>
                <w:rStyle w:val="eop"/>
                <w:rFonts w:cs="Arial"/>
                <w:color w:val="262626"/>
                <w:shd w:val="clear" w:color="auto" w:fill="FFFFFF"/>
              </w:rPr>
            </w:pPr>
            <w:r>
              <w:rPr>
                <w:rStyle w:val="eop"/>
                <w:rFonts w:cs="Arial"/>
                <w:color w:val="262626"/>
                <w:shd w:val="clear" w:color="auto" w:fill="FFFFFF"/>
              </w:rPr>
              <w:t xml:space="preserve">PGD updated to </w:t>
            </w:r>
            <w:r w:rsidR="00DC1FB8">
              <w:rPr>
                <w:rStyle w:val="eop"/>
                <w:rFonts w:cs="Arial"/>
                <w:color w:val="262626"/>
                <w:shd w:val="clear" w:color="auto" w:fill="FFFFFF"/>
              </w:rPr>
              <w:t>reference</w:t>
            </w:r>
            <w:r>
              <w:rPr>
                <w:rStyle w:val="eop"/>
                <w:rFonts w:cs="Arial"/>
                <w:color w:val="262626"/>
                <w:shd w:val="clear" w:color="auto" w:fill="FFFFFF"/>
              </w:rPr>
              <w:t xml:space="preserve"> mRNA</w:t>
            </w:r>
            <w:r w:rsidR="00DC1FB8">
              <w:rPr>
                <w:rStyle w:val="eop"/>
                <w:rFonts w:cs="Arial"/>
                <w:color w:val="262626"/>
                <w:shd w:val="clear" w:color="auto" w:fill="FFFFFF"/>
              </w:rPr>
              <w:t xml:space="preserve"> vaccines only</w:t>
            </w:r>
            <w:r w:rsidR="006F3A9A">
              <w:rPr>
                <w:rStyle w:val="eop"/>
                <w:rFonts w:cs="Arial"/>
                <w:color w:val="262626"/>
                <w:shd w:val="clear" w:color="auto" w:fill="FFFFFF"/>
              </w:rPr>
              <w:t>.</w:t>
            </w:r>
          </w:p>
          <w:p w14:paraId="62C7E271" w14:textId="01366A2E" w:rsidR="00DF723B" w:rsidRDefault="00DF723B" w:rsidP="00B941A3">
            <w:pPr>
              <w:pStyle w:val="Tablebullet1"/>
              <w:rPr>
                <w:rStyle w:val="eop"/>
                <w:rFonts w:cs="Arial"/>
                <w:color w:val="262626"/>
                <w:shd w:val="clear" w:color="auto" w:fill="FFFFFF"/>
              </w:rPr>
            </w:pPr>
            <w:r>
              <w:rPr>
                <w:rStyle w:val="eop"/>
                <w:rFonts w:cs="Arial"/>
                <w:color w:val="262626"/>
                <w:shd w:val="clear" w:color="auto" w:fill="FFFFFF"/>
              </w:rPr>
              <w:t xml:space="preserve">PGD updated to remove reference to </w:t>
            </w:r>
            <w:r w:rsidR="003E497F">
              <w:rPr>
                <w:rStyle w:val="eop"/>
                <w:rFonts w:cs="Arial"/>
                <w:color w:val="262626"/>
                <w:shd w:val="clear" w:color="auto" w:fill="FFFFFF"/>
              </w:rPr>
              <w:t>bivalent Original/Omicron BA. 4-5 vaccines.</w:t>
            </w:r>
          </w:p>
          <w:p w14:paraId="64770947" w14:textId="33AC3A66" w:rsidR="006F3A9A" w:rsidRDefault="006F3A9A" w:rsidP="00B941A3">
            <w:pPr>
              <w:pStyle w:val="Tablebullet1"/>
              <w:rPr>
                <w:rStyle w:val="eop"/>
                <w:rFonts w:cs="Arial"/>
                <w:color w:val="262626"/>
                <w:shd w:val="clear" w:color="auto" w:fill="FFFFFF"/>
              </w:rPr>
            </w:pPr>
            <w:r>
              <w:t xml:space="preserve">Inclusion criteria amended to include individuals invited, </w:t>
            </w:r>
            <w:r w:rsidRPr="000333ED">
              <w:t xml:space="preserve">or eligible in accordance with the recommendations in </w:t>
            </w:r>
            <w:r>
              <w:t xml:space="preserve">Green Book </w:t>
            </w:r>
            <w:hyperlink r:id="rId50" w:history="1">
              <w:r w:rsidRPr="000333ED">
                <w:rPr>
                  <w:b/>
                  <w:bCs/>
                </w:rPr>
                <w:t>Chapter 14a</w:t>
              </w:r>
            </w:hyperlink>
            <w:r w:rsidRPr="000333ED">
              <w:t xml:space="preserve">, and/or in line with subsequent correspondence/publications from </w:t>
            </w:r>
            <w:r w:rsidR="00285FD7">
              <w:br/>
            </w:r>
            <w:r w:rsidRPr="000333ED">
              <w:t>Scottish Government</w:t>
            </w:r>
            <w:r w:rsidRPr="0184682A">
              <w:t>.</w:t>
            </w:r>
          </w:p>
          <w:p w14:paraId="5585C257" w14:textId="420B1CAE" w:rsidR="00B941A3" w:rsidRDefault="00B941A3" w:rsidP="00B941A3">
            <w:pPr>
              <w:pStyle w:val="Tablebullet1"/>
              <w:rPr>
                <w:rStyle w:val="eop"/>
                <w:rFonts w:cs="Arial"/>
                <w:color w:val="262626"/>
                <w:shd w:val="clear" w:color="auto" w:fill="FFFFFF"/>
              </w:rPr>
            </w:pPr>
            <w:r w:rsidRPr="007A43AC">
              <w:rPr>
                <w:rStyle w:val="eop"/>
                <w:rFonts w:cs="Arial"/>
                <w:color w:val="262626"/>
                <w:shd w:val="clear" w:color="auto" w:fill="FFFFFF"/>
              </w:rPr>
              <w:t xml:space="preserve">Inclusion criteria, frequency, is the use </w:t>
            </w:r>
            <w:proofErr w:type="spellStart"/>
            <w:r w:rsidRPr="007A43AC">
              <w:rPr>
                <w:rStyle w:val="eop"/>
                <w:rFonts w:cs="Arial"/>
                <w:color w:val="262626"/>
                <w:shd w:val="clear" w:color="auto" w:fill="FFFFFF"/>
              </w:rPr>
              <w:t>outwith</w:t>
            </w:r>
            <w:proofErr w:type="spellEnd"/>
            <w:r w:rsidRPr="007A43AC">
              <w:rPr>
                <w:rStyle w:val="eop"/>
                <w:rFonts w:cs="Arial"/>
                <w:color w:val="262626"/>
                <w:shd w:val="clear" w:color="auto" w:fill="FFFFFF"/>
              </w:rPr>
              <w:t xml:space="preserve"> the SmPC and additional reference sections updated to include reference to the Scottish Haematology Society schedule for the revaccination of patients following haematopoietic stem cell transplant or CAR-T treatment.</w:t>
            </w:r>
          </w:p>
          <w:p w14:paraId="58463E04" w14:textId="77777777" w:rsidR="00D85E24" w:rsidRDefault="00CD3B2F" w:rsidP="007208CC">
            <w:pPr>
              <w:pStyle w:val="Tablebullet1"/>
            </w:pPr>
            <w:r>
              <w:lastRenderedPageBreak/>
              <w:t xml:space="preserve">Frequency section updated to reflect updated Green Book Chapter advice for </w:t>
            </w:r>
            <w:r w:rsidR="00C25A73">
              <w:t xml:space="preserve">severely immunosuppressed individuals. </w:t>
            </w:r>
          </w:p>
          <w:p w14:paraId="50642EFC" w14:textId="397D49BE" w:rsidR="00C25A73" w:rsidRPr="004D791D" w:rsidRDefault="00C25A73" w:rsidP="007208CC">
            <w:pPr>
              <w:pStyle w:val="Tablebullet1"/>
            </w:pPr>
            <w:r>
              <w:t xml:space="preserve">Is the use </w:t>
            </w:r>
            <w:proofErr w:type="spellStart"/>
            <w:r>
              <w:t>ou</w:t>
            </w:r>
            <w:r w:rsidR="00306BFC">
              <w:t>t</w:t>
            </w:r>
            <w:r>
              <w:t>with</w:t>
            </w:r>
            <w:proofErr w:type="spellEnd"/>
            <w:r>
              <w:t xml:space="preserve"> the SmPC</w:t>
            </w:r>
            <w:r w:rsidR="005F1ED0">
              <w:t xml:space="preserve"> and </w:t>
            </w:r>
            <w:r w:rsidR="00E145A9">
              <w:t>observation following vaccination</w:t>
            </w:r>
            <w:r>
              <w:t xml:space="preserve"> section</w:t>
            </w:r>
            <w:r w:rsidR="00E145A9">
              <w:t>s</w:t>
            </w:r>
            <w:r>
              <w:t xml:space="preserve"> updated to</w:t>
            </w:r>
            <w:r w:rsidR="00306BFC">
              <w:t xml:space="preserve"> remove advice from Scottish Government on 5 minute wait.</w:t>
            </w:r>
            <w:r w:rsidR="004A51CF">
              <w:t xml:space="preserve"> </w:t>
            </w:r>
          </w:p>
        </w:tc>
      </w:tr>
      <w:tr w:rsidR="00D858E6" w:rsidRPr="007F6929" w14:paraId="19D54C0A" w14:textId="77777777" w:rsidTr="00F409FA">
        <w:tblPrEx>
          <w:tblLook w:val="04A0" w:firstRow="1" w:lastRow="0" w:firstColumn="1" w:lastColumn="0" w:noHBand="0" w:noVBand="1"/>
        </w:tblPrEx>
        <w:trPr>
          <w:trHeight w:val="397"/>
        </w:trPr>
        <w:tc>
          <w:tcPr>
            <w:tcW w:w="1040" w:type="dxa"/>
          </w:tcPr>
          <w:p w14:paraId="6DF458EA" w14:textId="6717513A" w:rsidR="00D858E6" w:rsidRDefault="00D858E6" w:rsidP="004D1B01">
            <w:pPr>
              <w:pStyle w:val="TableBody"/>
            </w:pPr>
            <w:r>
              <w:lastRenderedPageBreak/>
              <w:t>4.0</w:t>
            </w:r>
          </w:p>
        </w:tc>
        <w:tc>
          <w:tcPr>
            <w:tcW w:w="2357" w:type="dxa"/>
          </w:tcPr>
          <w:p w14:paraId="5203F1FB" w14:textId="6FF0A29F" w:rsidR="00D858E6" w:rsidRDefault="00DC1154" w:rsidP="004D1B01">
            <w:pPr>
              <w:pStyle w:val="TableBody"/>
            </w:pPr>
            <w:r>
              <w:t>16</w:t>
            </w:r>
            <w:r w:rsidR="00D858E6">
              <w:t xml:space="preserve"> September 2024</w:t>
            </w:r>
          </w:p>
        </w:tc>
        <w:tc>
          <w:tcPr>
            <w:tcW w:w="6376" w:type="dxa"/>
          </w:tcPr>
          <w:p w14:paraId="07222598" w14:textId="77777777" w:rsidR="00D858E6" w:rsidRDefault="00D858E6" w:rsidP="00D858E6">
            <w:pPr>
              <w:pStyle w:val="Tablebullet1"/>
              <w:numPr>
                <w:ilvl w:val="0"/>
                <w:numId w:val="0"/>
              </w:numPr>
              <w:rPr>
                <w:rStyle w:val="eop"/>
                <w:rFonts w:cs="Arial"/>
                <w:color w:val="262626"/>
                <w:shd w:val="clear" w:color="auto" w:fill="FFFFFF"/>
              </w:rPr>
            </w:pPr>
            <w:r>
              <w:rPr>
                <w:rStyle w:val="normaltextrun"/>
                <w:rFonts w:cs="Arial"/>
                <w:color w:val="262626"/>
                <w:shd w:val="clear" w:color="auto" w:fill="FFFFFF"/>
              </w:rPr>
              <w:t>The following changes to version 3.0 of the PGD have been made:</w:t>
            </w:r>
            <w:r>
              <w:rPr>
                <w:rStyle w:val="eop"/>
                <w:rFonts w:cs="Arial"/>
                <w:color w:val="262626"/>
                <w:shd w:val="clear" w:color="auto" w:fill="FFFFFF"/>
              </w:rPr>
              <w:t> </w:t>
            </w:r>
          </w:p>
          <w:p w14:paraId="4408FC07" w14:textId="77777777" w:rsidR="00D858E6" w:rsidRPr="007208CC" w:rsidRDefault="00D858E6" w:rsidP="007208CC">
            <w:pPr>
              <w:pStyle w:val="Tablebullet1"/>
            </w:pPr>
            <w:r w:rsidRPr="007208CC">
              <w:t>Updated throughout to include JN.1 vaccines.</w:t>
            </w:r>
          </w:p>
          <w:p w14:paraId="6F996198" w14:textId="77777777" w:rsidR="00D858E6" w:rsidRPr="007208CC" w:rsidRDefault="00D858E6" w:rsidP="007208CC">
            <w:pPr>
              <w:pStyle w:val="Tablebullet1"/>
            </w:pPr>
            <w:r w:rsidRPr="007208CC">
              <w:t>Co-administration with other vaccines updated to include RSV vaccine.</w:t>
            </w:r>
          </w:p>
          <w:p w14:paraId="7C671674" w14:textId="034D5E4E" w:rsidR="00E729BE" w:rsidRPr="00D858E6" w:rsidRDefault="00E729BE" w:rsidP="007208CC">
            <w:pPr>
              <w:pStyle w:val="Tablebullet1"/>
              <w:rPr>
                <w:rStyle w:val="normaltextrun"/>
              </w:rPr>
            </w:pPr>
            <w:r w:rsidRPr="007208CC">
              <w:t>Warnings section updated to include statement that Erythema Multiforme has been reported associated after vaccination.</w:t>
            </w:r>
          </w:p>
        </w:tc>
      </w:tr>
      <w:tr w:rsidR="00EF42D8" w:rsidRPr="007F6929" w14:paraId="1FAA6E8B" w14:textId="77777777" w:rsidTr="00F409FA">
        <w:tblPrEx>
          <w:tblLook w:val="04A0" w:firstRow="1" w:lastRow="0" w:firstColumn="1" w:lastColumn="0" w:noHBand="0" w:noVBand="1"/>
        </w:tblPrEx>
        <w:trPr>
          <w:trHeight w:val="397"/>
        </w:trPr>
        <w:tc>
          <w:tcPr>
            <w:tcW w:w="1040" w:type="dxa"/>
          </w:tcPr>
          <w:p w14:paraId="1B81C395" w14:textId="66E098DA" w:rsidR="00EF42D8" w:rsidRDefault="00EF42D8" w:rsidP="004D1B01">
            <w:pPr>
              <w:pStyle w:val="TableBody"/>
            </w:pPr>
            <w:r>
              <w:t>5.0</w:t>
            </w:r>
          </w:p>
        </w:tc>
        <w:tc>
          <w:tcPr>
            <w:tcW w:w="2357" w:type="dxa"/>
          </w:tcPr>
          <w:p w14:paraId="5C38F95A" w14:textId="6634F72D" w:rsidR="00EF42D8" w:rsidRDefault="006419A4" w:rsidP="004D1B01">
            <w:pPr>
              <w:pStyle w:val="TableBody"/>
            </w:pPr>
            <w:r>
              <w:t>1</w:t>
            </w:r>
            <w:r w:rsidR="00A148D6">
              <w:t>9</w:t>
            </w:r>
            <w:r w:rsidR="007C774A">
              <w:t xml:space="preserve"> March</w:t>
            </w:r>
            <w:r>
              <w:t xml:space="preserve"> 2025</w:t>
            </w:r>
          </w:p>
        </w:tc>
        <w:tc>
          <w:tcPr>
            <w:tcW w:w="6376" w:type="dxa"/>
          </w:tcPr>
          <w:p w14:paraId="1EABF96F" w14:textId="4F5769D6" w:rsidR="00264CFF" w:rsidRDefault="00264CFF" w:rsidP="00C01FAB">
            <w:pPr>
              <w:pStyle w:val="Tablebullet1"/>
              <w:numPr>
                <w:ilvl w:val="0"/>
                <w:numId w:val="0"/>
              </w:numPr>
              <w:rPr>
                <w:rStyle w:val="eop"/>
                <w:rFonts w:cs="Arial"/>
                <w:color w:val="262626"/>
                <w:shd w:val="clear" w:color="auto" w:fill="FFFFFF"/>
              </w:rPr>
            </w:pPr>
            <w:r>
              <w:rPr>
                <w:rStyle w:val="normaltextrun"/>
                <w:rFonts w:cs="Arial"/>
                <w:color w:val="262626"/>
                <w:shd w:val="clear" w:color="auto" w:fill="FFFFFF"/>
              </w:rPr>
              <w:t>The following changes to version 4.0 of the PGD have been made:</w:t>
            </w:r>
            <w:r>
              <w:rPr>
                <w:rStyle w:val="eop"/>
                <w:rFonts w:cs="Arial"/>
                <w:color w:val="262626"/>
                <w:shd w:val="clear" w:color="auto" w:fill="FFFFFF"/>
              </w:rPr>
              <w:t> </w:t>
            </w:r>
          </w:p>
          <w:p w14:paraId="4D7EC0FA" w14:textId="7174F466" w:rsidR="00264CFF" w:rsidRDefault="00264CFF" w:rsidP="00957F40">
            <w:pPr>
              <w:pStyle w:val="Tablebullet1"/>
              <w:numPr>
                <w:ilvl w:val="0"/>
                <w:numId w:val="28"/>
              </w:numPr>
              <w:rPr>
                <w:rStyle w:val="eop"/>
                <w:rFonts w:cs="Arial"/>
                <w:color w:val="262626"/>
                <w:shd w:val="clear" w:color="auto" w:fill="FFFFFF"/>
              </w:rPr>
            </w:pPr>
            <w:r>
              <w:rPr>
                <w:rStyle w:val="eop"/>
                <w:rFonts w:cs="Arial"/>
                <w:color w:val="262626"/>
                <w:shd w:val="clear" w:color="auto" w:fill="FFFFFF"/>
              </w:rPr>
              <w:t>Section 1.4 Co</w:t>
            </w:r>
            <w:r w:rsidR="00F973F6">
              <w:rPr>
                <w:rStyle w:val="eop"/>
                <w:rFonts w:cs="Arial"/>
                <w:color w:val="262626"/>
                <w:shd w:val="clear" w:color="auto" w:fill="FFFFFF"/>
              </w:rPr>
              <w:t>-</w:t>
            </w:r>
            <w:r>
              <w:rPr>
                <w:rStyle w:val="eop"/>
                <w:rFonts w:cs="Arial"/>
                <w:color w:val="262626"/>
                <w:shd w:val="clear" w:color="auto" w:fill="FFFFFF"/>
              </w:rPr>
              <w:t xml:space="preserve">administration with other vaccines section updated to include </w:t>
            </w:r>
            <w:r w:rsidRPr="00DB60E1">
              <w:rPr>
                <w:rStyle w:val="eop"/>
                <w:rFonts w:cs="Arial"/>
                <w:color w:val="262626"/>
                <w:shd w:val="clear" w:color="auto" w:fill="FFFFFF"/>
              </w:rPr>
              <w:t xml:space="preserve">Pregnant women can safely have </w:t>
            </w:r>
            <w:proofErr w:type="spellStart"/>
            <w:r w:rsidRPr="00DB60E1">
              <w:rPr>
                <w:rStyle w:val="eop"/>
                <w:rFonts w:cs="Arial"/>
                <w:color w:val="262626"/>
                <w:shd w:val="clear" w:color="auto" w:fill="FFFFFF"/>
              </w:rPr>
              <w:t>Abrysvo</w:t>
            </w:r>
            <w:proofErr w:type="spellEnd"/>
            <w:r w:rsidRPr="00DB60E1">
              <w:rPr>
                <w:rStyle w:val="eop"/>
                <w:rFonts w:cs="Arial"/>
                <w:color w:val="262626"/>
                <w:shd w:val="clear" w:color="auto" w:fill="FFFFFF"/>
              </w:rPr>
              <w:t>® co-administered with influenza vaccine, anti-D immunoglobulin or COVID-19 vaccine.</w:t>
            </w:r>
          </w:p>
          <w:p w14:paraId="10C2E3D0" w14:textId="72F4FBEC" w:rsidR="00C01FAB" w:rsidRDefault="00C01FAB" w:rsidP="00957F40">
            <w:pPr>
              <w:pStyle w:val="Tablebullet1"/>
              <w:numPr>
                <w:ilvl w:val="0"/>
                <w:numId w:val="28"/>
              </w:numPr>
              <w:rPr>
                <w:rStyle w:val="normaltextrun"/>
                <w:rFonts w:cs="Arial"/>
                <w:color w:val="262626"/>
                <w:shd w:val="clear" w:color="auto" w:fill="FFFFFF"/>
              </w:rPr>
            </w:pPr>
            <w:r>
              <w:rPr>
                <w:color w:val="262626"/>
              </w:rPr>
              <w:t>Section 2.1</w:t>
            </w:r>
            <w:r w:rsidR="00632E5C">
              <w:rPr>
                <w:color w:val="262626"/>
              </w:rPr>
              <w:t>0</w:t>
            </w:r>
            <w:r>
              <w:rPr>
                <w:color w:val="262626"/>
              </w:rPr>
              <w:t xml:space="preserve"> </w:t>
            </w:r>
            <w:r w:rsidRPr="00EC2F1E">
              <w:rPr>
                <w:color w:val="262626"/>
              </w:rPr>
              <w:t xml:space="preserve">Is the use </w:t>
            </w:r>
            <w:proofErr w:type="spellStart"/>
            <w:r w:rsidRPr="00EC2F1E">
              <w:rPr>
                <w:color w:val="262626"/>
              </w:rPr>
              <w:t>outwith</w:t>
            </w:r>
            <w:proofErr w:type="spellEnd"/>
            <w:r w:rsidRPr="00EC2F1E">
              <w:rPr>
                <w:color w:val="262626"/>
              </w:rPr>
              <w:t xml:space="preserve"> the SmPC</w:t>
            </w:r>
            <w:r>
              <w:rPr>
                <w:color w:val="262626"/>
              </w:rPr>
              <w:t xml:space="preserve"> section updated to clarify </w:t>
            </w:r>
            <w:r w:rsidRPr="00B31E97">
              <w:rPr>
                <w:color w:val="262626"/>
              </w:rPr>
              <w:t>SmPC</w:t>
            </w:r>
            <w:r w:rsidR="008B2521">
              <w:rPr>
                <w:color w:val="262626"/>
              </w:rPr>
              <w:t xml:space="preserve"> is</w:t>
            </w:r>
            <w:r w:rsidRPr="00B31E97">
              <w:rPr>
                <w:color w:val="262626"/>
              </w:rPr>
              <w:t xml:space="preserve"> </w:t>
            </w:r>
            <w:r>
              <w:rPr>
                <w:color w:val="262626"/>
              </w:rPr>
              <w:t xml:space="preserve">for </w:t>
            </w:r>
            <w:r w:rsidRPr="00FB7B0F">
              <w:rPr>
                <w:rFonts w:cs="Times New Roman"/>
                <w:color w:val="auto"/>
              </w:rPr>
              <w:t xml:space="preserve">Comirnaty JN.1 </w:t>
            </w:r>
            <w:r>
              <w:t>in relation to 15 minute observation.</w:t>
            </w:r>
          </w:p>
        </w:tc>
      </w:tr>
      <w:bookmarkEnd w:id="6"/>
    </w:tbl>
    <w:p w14:paraId="1F82CB90" w14:textId="77777777" w:rsidR="00814B11" w:rsidRPr="00814B11" w:rsidRDefault="00814B11" w:rsidP="00C4047F"/>
    <w:sectPr w:rsidR="00814B11" w:rsidRPr="00814B11" w:rsidSect="006A2E18">
      <w:footnotePr>
        <w:numFmt w:val="lowerRoman"/>
      </w:footnotePr>
      <w:endnotePr>
        <w:numFmt w:val="decimal"/>
      </w:endnotePr>
      <w:pgSz w:w="11906" w:h="16838"/>
      <w:pgMar w:top="1418" w:right="1418" w:bottom="1531" w:left="1418"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7ED04E" w14:textId="77777777" w:rsidR="00AC6751" w:rsidRPr="008B0187" w:rsidRDefault="00AC6751" w:rsidP="008B0187">
      <w:pPr>
        <w:pStyle w:val="Footer"/>
      </w:pPr>
    </w:p>
  </w:endnote>
  <w:endnote w:type="continuationSeparator" w:id="0">
    <w:p w14:paraId="3E2A3906" w14:textId="77777777" w:rsidR="00AC6751" w:rsidRDefault="00AC6751"/>
  </w:endnote>
  <w:endnote w:type="continuationNotice" w:id="1">
    <w:p w14:paraId="7B6936C1" w14:textId="77777777" w:rsidR="00AC6751" w:rsidRDefault="00AC675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3395953"/>
      <w:docPartObj>
        <w:docPartGallery w:val="Page Numbers (Bottom of Page)"/>
        <w:docPartUnique/>
      </w:docPartObj>
    </w:sdtPr>
    <w:sdtEndPr/>
    <w:sdtContent>
      <w:p w14:paraId="5970BDE2" w14:textId="77777777" w:rsidR="00D202E2" w:rsidRDefault="00D202E2" w:rsidP="00587532">
        <w:pPr>
          <w:pStyle w:val="Pagenumbers"/>
        </w:pPr>
        <w:r>
          <w:rPr>
            <w:noProof w:val="0"/>
          </w:rPr>
          <w:fldChar w:fldCharType="begin"/>
        </w:r>
        <w:r>
          <w:instrText xml:space="preserve"> PAGE   \* MERGEFORMAT </w:instrText>
        </w:r>
        <w:r>
          <w:rPr>
            <w:noProof w:val="0"/>
          </w:rPr>
          <w:fldChar w:fldCharType="separate"/>
        </w:r>
        <w:r w:rsidR="00B104AA">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AED2D" w14:textId="4105AF49" w:rsidR="00D202E2" w:rsidRPr="00294C86" w:rsidRDefault="00D202E2" w:rsidP="002A3CA3">
    <w:pPr>
      <w:pStyle w:val="Coverfooter"/>
    </w:pPr>
    <w:bookmarkStart w:id="0" w:name="_Hlk69468892"/>
    <w:bookmarkStart w:id="1" w:name="_Hlk69468893"/>
    <w:bookmarkStart w:id="2" w:name="_Hlk69468894"/>
    <w:bookmarkStart w:id="3" w:name="_Hlk69468895"/>
    <w:bookmarkStart w:id="4" w:name="_Hlk69468896"/>
    <w:bookmarkStart w:id="5" w:name="_Hlk69468897"/>
    <w:r w:rsidRPr="00294C86">
      <w:rPr>
        <w:noProof/>
        <w:lang w:eastAsia="en-GB"/>
      </w:rPr>
      <mc:AlternateContent>
        <mc:Choice Requires="wps">
          <w:drawing>
            <wp:anchor distT="0" distB="0" distL="114300" distR="114300" simplePos="0" relativeHeight="251658240" behindDoc="0" locked="0" layoutInCell="1" allowOverlap="1" wp14:anchorId="15BBD351" wp14:editId="61A699B3">
              <wp:simplePos x="0" y="0"/>
              <wp:positionH relativeFrom="rightMargin">
                <wp:align>left</wp:align>
              </wp:positionH>
              <wp:positionV relativeFrom="bottomMargin">
                <wp:align>top</wp:align>
              </wp:positionV>
              <wp:extent cx="449119" cy="1259840"/>
              <wp:effectExtent l="0" t="0" r="0" b="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9119" cy="12598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7767D1B"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BBD351" id="Rectangle 13" o:spid="_x0000_s1027" alt="&quot;&quot;" style="position:absolute;margin-left:0;margin-top:0;width:35.35pt;height:99.2pt;z-index:251658240;visibility:visible;mso-wrap-style:square;mso-width-percent:0;mso-height-percent:0;mso-wrap-distance-left:9pt;mso-wrap-distance-top:0;mso-wrap-distance-right:9pt;mso-wrap-distance-bottom:0;mso-position-horizontal:left;mso-position-horizontal-relative:right-margin-area;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" filled="f" stroked="f" strokeweight="1.25pt">
              <v:textbox style="layout-flow:vertical" inset=",,,4mm">
                <w:txbxContent>
                  <w:p w14:paraId="57767D1B"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v:textbox>
              <w10:wrap anchorx="margin" anchory="margin"/>
            </v:rect>
          </w:pict>
        </mc:Fallback>
      </mc:AlternateContent>
    </w:r>
    <w:r>
      <w:t xml:space="preserve">Version </w:t>
    </w:r>
    <w:bookmarkEnd w:id="0"/>
    <w:bookmarkEnd w:id="1"/>
    <w:bookmarkEnd w:id="2"/>
    <w:bookmarkEnd w:id="3"/>
    <w:bookmarkEnd w:id="4"/>
    <w:bookmarkEnd w:id="5"/>
    <w:r w:rsidR="00DE5DEC">
      <w:t>5</w:t>
    </w:r>
    <w:r w:rsidR="00CD4EC5">
      <w:t>.0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7F5DF" w14:textId="77777777" w:rsidR="00D202E2" w:rsidRPr="00AC7145" w:rsidRDefault="00D202E2" w:rsidP="00AC714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val="0"/>
      </w:rPr>
      <w:id w:val="-289290511"/>
      <w:docPartObj>
        <w:docPartGallery w:val="Page Numbers (Bottom of Page)"/>
        <w:docPartUnique/>
      </w:docPartObj>
    </w:sdtPr>
    <w:sdtEndPr>
      <w:rPr>
        <w:noProof/>
      </w:rPr>
    </w:sdtEndPr>
    <w:sdtContent>
      <w:p w14:paraId="2EDFB655" w14:textId="77777777" w:rsidR="00D202E2" w:rsidRPr="00B060A4" w:rsidRDefault="00D202E2" w:rsidP="00710325">
        <w:pPr>
          <w:pStyle w:val="Pagenumbers"/>
        </w:pPr>
        <w:r>
          <w:rPr>
            <w:noProof w:val="0"/>
          </w:rPr>
          <w:fldChar w:fldCharType="begin"/>
        </w:r>
        <w:r>
          <w:instrText xml:space="preserve"> PAGE   \* MERGEFORMAT </w:instrText>
        </w:r>
        <w:r>
          <w:rPr>
            <w:noProof w:val="0"/>
          </w:rPr>
          <w:fldChar w:fldCharType="separate"/>
        </w:r>
        <w:r w:rsidR="00592480">
          <w:t>1</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2475434"/>
      <w:docPartObj>
        <w:docPartGallery w:val="Page Numbers (Bottom of Page)"/>
        <w:docPartUnique/>
      </w:docPartObj>
    </w:sdtPr>
    <w:sdtEndPr/>
    <w:sdtContent>
      <w:sdt>
        <w:sdtPr>
          <w:id w:val="-705557575"/>
          <w:docPartObj>
            <w:docPartGallery w:val="Page Numbers (Bottom of Page)"/>
            <w:docPartUnique/>
          </w:docPartObj>
        </w:sdtPr>
        <w:sdtEndPr/>
        <w:sdtContent>
          <w:p w14:paraId="7D7FEDC2" w14:textId="77777777" w:rsidR="00D202E2" w:rsidRPr="00B060A4" w:rsidRDefault="00D202E2" w:rsidP="007825E0">
            <w:pPr>
              <w:pStyle w:val="Pagenumbers"/>
            </w:pPr>
            <w:r>
              <w:fldChar w:fldCharType="begin"/>
            </w:r>
            <w:r>
              <w:instrText xml:space="preserve"> PAGE   \* MERGEFORMAT </w:instrText>
            </w:r>
            <w:r>
              <w:fldChar w:fldCharType="separate"/>
            </w:r>
            <w:r w:rsidR="00592480">
              <w:t>24</w:t>
            </w:r>
            <w: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EA1CAD" w14:textId="77777777" w:rsidR="00AC6751" w:rsidRDefault="00AC6751">
      <w:r>
        <w:separator/>
      </w:r>
    </w:p>
  </w:footnote>
  <w:footnote w:type="continuationSeparator" w:id="0">
    <w:p w14:paraId="5711709E" w14:textId="77777777" w:rsidR="00AC6751" w:rsidRDefault="00AC6751" w:rsidP="00151D33">
      <w:r>
        <w:continuationSeparator/>
      </w:r>
    </w:p>
    <w:p w14:paraId="531A31C4" w14:textId="77777777" w:rsidR="00AC6751" w:rsidRDefault="00AC6751" w:rsidP="00151D33"/>
    <w:p w14:paraId="2EF41A46" w14:textId="77777777" w:rsidR="00AC6751" w:rsidRDefault="00AC6751"/>
  </w:footnote>
  <w:footnote w:type="continuationNotice" w:id="1">
    <w:p w14:paraId="635C18FD" w14:textId="77777777" w:rsidR="00AC6751" w:rsidRDefault="00AC675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5CC1E" w14:textId="77777777" w:rsidR="00D202E2" w:rsidRPr="0040598E" w:rsidRDefault="00D202E2" w:rsidP="00E234F4">
    <w:pPr>
      <w:pStyle w:val="Header"/>
    </w:pPr>
    <w:r>
      <w:tab/>
    </w:r>
    <w:r>
      <w:rPr>
        <w:noProof/>
        <w:lang w:eastAsia="en-GB"/>
      </w:rPr>
      <w:drawing>
        <wp:inline distT="0" distB="0" distL="0" distR="0" wp14:anchorId="6CB07684" wp14:editId="48BF882F">
          <wp:extent cx="2159635" cy="779145"/>
          <wp:effectExtent l="0" t="0" r="0" b="1905"/>
          <wp:docPr id="976537553" name="Picture 976537553"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ublic Health Scotland 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159635" cy="779145"/>
                  </a:xfrm>
                  <a:prstGeom prst="rect">
                    <a:avLst/>
                  </a:prstGeom>
                  <a:noFill/>
                </pic:spPr>
              </pic:pic>
            </a:graphicData>
          </a:graphic>
        </wp:inline>
      </w:drawing>
    </w:r>
    <w:r>
      <w:rPr>
        <w:noProof/>
        <w:lang w:eastAsia="en-GB"/>
      </w:rPr>
      <w:drawing>
        <wp:anchor distT="0" distB="0" distL="114300" distR="114300" simplePos="0" relativeHeight="251658241" behindDoc="1" locked="0" layoutInCell="1" allowOverlap="1" wp14:anchorId="76D85201" wp14:editId="63CEF5E2">
          <wp:simplePos x="0" y="0"/>
          <wp:positionH relativeFrom="page">
            <wp:posOffset>-2540</wp:posOffset>
          </wp:positionH>
          <wp:positionV relativeFrom="paragraph">
            <wp:posOffset>-2061736</wp:posOffset>
          </wp:positionV>
          <wp:extent cx="7560000" cy="10693816"/>
          <wp:effectExtent l="0" t="0" r="3175" b="0"/>
          <wp:wrapNone/>
          <wp:docPr id="193299977" name="Picture 1932999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7560000" cy="1069381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D47CE"/>
    <w:multiLevelType w:val="multilevel"/>
    <w:tmpl w:val="CA78EF3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C7B6AC9"/>
    <w:multiLevelType w:val="hybridMultilevel"/>
    <w:tmpl w:val="54AEEC7E"/>
    <w:lvl w:ilvl="0" w:tplc="6004EA14">
      <w:start w:val="1"/>
      <w:numFmt w:val="bullet"/>
      <w:lvlText w:val=""/>
      <w:lvlJc w:val="left"/>
      <w:pPr>
        <w:ind w:left="360" w:hanging="360"/>
      </w:pPr>
      <w:rPr>
        <w:rFonts w:ascii="Symbol" w:hAnsi="Symbol" w:hint="default"/>
        <w:color w:val="auto"/>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B916AD"/>
    <w:multiLevelType w:val="multilevel"/>
    <w:tmpl w:val="D50EFFAE"/>
    <w:lvl w:ilvl="0">
      <w:start w:val="1"/>
      <w:numFmt w:val="decimal"/>
      <w:suff w:val="space"/>
      <w:lvlText w:val="%1."/>
      <w:lvlJc w:val="left"/>
      <w:pPr>
        <w:ind w:left="0" w:firstLine="0"/>
      </w:pPr>
      <w:rPr>
        <w:rFonts w:ascii="Arial" w:eastAsiaTheme="majorEastAsia" w:hAnsi="Arial" w:cstheme="majorBidi"/>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3"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4" w15:restartNumberingAfterBreak="0">
    <w:nsid w:val="147F6DD3"/>
    <w:multiLevelType w:val="hybridMultilevel"/>
    <w:tmpl w:val="CA501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A636E7"/>
    <w:multiLevelType w:val="multilevel"/>
    <w:tmpl w:val="71902B66"/>
    <w:lvl w:ilvl="0">
      <w:start w:val="1"/>
      <w:numFmt w:val="decimal"/>
      <w:pStyle w:val="Tablebulletnumbered1123"/>
      <w:lvlText w:val="%1."/>
      <w:lvlJc w:val="left"/>
      <w:pPr>
        <w:tabs>
          <w:tab w:val="num" w:pos="284"/>
        </w:tabs>
        <w:ind w:left="284" w:hanging="284"/>
      </w:pPr>
      <w:rPr>
        <w:rFonts w:hint="default"/>
      </w:rPr>
    </w:lvl>
    <w:lvl w:ilvl="1">
      <w:start w:val="1"/>
      <w:numFmt w:val="lowerLetter"/>
      <w:pStyle w:val="Tablebulletnumbered2abc"/>
      <w:lvlText w:val="%2."/>
      <w:lvlJc w:val="left"/>
      <w:pPr>
        <w:tabs>
          <w:tab w:val="num" w:pos="567"/>
        </w:tabs>
        <w:ind w:left="567" w:hanging="28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66E0223"/>
    <w:multiLevelType w:val="multilevel"/>
    <w:tmpl w:val="4288B0E0"/>
    <w:lvl w:ilvl="0">
      <w:start w:val="1"/>
      <w:numFmt w:val="decimal"/>
      <w:pStyle w:val="Bulletnumbered1123"/>
      <w:lvlText w:val="%1."/>
      <w:lvlJc w:val="left"/>
      <w:pPr>
        <w:ind w:left="697" w:hanging="337"/>
      </w:pPr>
      <w:rPr>
        <w:rFonts w:hint="default"/>
      </w:rPr>
    </w:lvl>
    <w:lvl w:ilvl="1">
      <w:start w:val="1"/>
      <w:numFmt w:val="lowerLetter"/>
      <w:lvlRestart w:val="0"/>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85A3C3A"/>
    <w:multiLevelType w:val="hybridMultilevel"/>
    <w:tmpl w:val="4BB247B2"/>
    <w:lvl w:ilvl="0" w:tplc="28FCC83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E9C4284"/>
    <w:multiLevelType w:val="hybridMultilevel"/>
    <w:tmpl w:val="09F2E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BB0B51"/>
    <w:multiLevelType w:val="hybridMultilevel"/>
    <w:tmpl w:val="427E4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FA7177"/>
    <w:multiLevelType w:val="multilevel"/>
    <w:tmpl w:val="563CAFBA"/>
    <w:lvl w:ilvl="0">
      <w:start w:val="1"/>
      <w:numFmt w:val="decimal"/>
      <w:pStyle w:val="Heading1numbered"/>
      <w:suff w:val="space"/>
      <w:lvlText w:val="%1."/>
      <w:lvlJc w:val="left"/>
      <w:pPr>
        <w:ind w:left="0" w:firstLine="0"/>
      </w:pPr>
      <w:rPr>
        <w:rFonts w:ascii="Arial" w:eastAsiaTheme="majorEastAsia" w:hAnsi="Arial" w:cstheme="majorBidi"/>
      </w:rPr>
    </w:lvl>
    <w:lvl w:ilvl="1">
      <w:start w:val="1"/>
      <w:numFmt w:val="decimal"/>
      <w:pStyle w:val="NormalH2numbered"/>
      <w:suff w:val="space"/>
      <w:lvlText w:val="%1.%2."/>
      <w:lvlJc w:val="left"/>
      <w:pPr>
        <w:ind w:left="283"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13" w15:restartNumberingAfterBreak="0">
    <w:nsid w:val="3AE93D40"/>
    <w:multiLevelType w:val="hybridMultilevel"/>
    <w:tmpl w:val="FBB61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1B606F"/>
    <w:multiLevelType w:val="hybridMultilevel"/>
    <w:tmpl w:val="15CC8CAE"/>
    <w:lvl w:ilvl="0" w:tplc="F98E485E">
      <w:start w:val="1"/>
      <w:numFmt w:val="lowerLetter"/>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5" w15:restartNumberingAfterBreak="0">
    <w:nsid w:val="4C4D7CE0"/>
    <w:multiLevelType w:val="hybridMultilevel"/>
    <w:tmpl w:val="05CA5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294C36"/>
    <w:multiLevelType w:val="hybridMultilevel"/>
    <w:tmpl w:val="D46E009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7" w15:restartNumberingAfterBreak="0">
    <w:nsid w:val="5F645449"/>
    <w:multiLevelType w:val="hybridMultilevel"/>
    <w:tmpl w:val="64081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9" w15:restartNumberingAfterBreak="0">
    <w:nsid w:val="75C0097D"/>
    <w:multiLevelType w:val="multilevel"/>
    <w:tmpl w:val="62F021B8"/>
    <w:lvl w:ilvl="0">
      <w:start w:val="1"/>
      <w:numFmt w:val="decimal"/>
      <w:pStyle w:val="NormalH1numbered"/>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num w:numId="1" w16cid:durableId="351422399">
    <w:abstractNumId w:val="14"/>
    <w:lvlOverride w:ilvl="0">
      <w:startOverride w:val="1"/>
    </w:lvlOverride>
  </w:num>
  <w:num w:numId="2" w16cid:durableId="86548138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6778585">
    <w:abstractNumId w:val="5"/>
  </w:num>
  <w:num w:numId="4" w16cid:durableId="2137404187">
    <w:abstractNumId w:val="18"/>
  </w:num>
  <w:num w:numId="5" w16cid:durableId="1207445461">
    <w:abstractNumId w:val="3"/>
  </w:num>
  <w:num w:numId="6" w16cid:durableId="1318806866">
    <w:abstractNumId w:val="7"/>
  </w:num>
  <w:num w:numId="7" w16cid:durableId="1805659800">
    <w:abstractNumId w:val="8"/>
  </w:num>
  <w:num w:numId="8" w16cid:durableId="1210873619">
    <w:abstractNumId w:val="12"/>
  </w:num>
  <w:num w:numId="9" w16cid:durableId="905452924">
    <w:abstractNumId w:val="6"/>
  </w:num>
  <w:num w:numId="10" w16cid:durableId="838085023">
    <w:abstractNumId w:val="0"/>
  </w:num>
  <w:num w:numId="11" w16cid:durableId="1563446915">
    <w:abstractNumId w:val="0"/>
  </w:num>
  <w:num w:numId="12" w16cid:durableId="464813903">
    <w:abstractNumId w:val="16"/>
  </w:num>
  <w:num w:numId="13" w16cid:durableId="1287153489">
    <w:abstractNumId w:val="1"/>
  </w:num>
  <w:num w:numId="14" w16cid:durableId="229392895">
    <w:abstractNumId w:val="12"/>
    <w:lvlOverride w:ilvl="0">
      <w:startOverride w:val="8"/>
    </w:lvlOverride>
  </w:num>
  <w:num w:numId="15" w16cid:durableId="363288212">
    <w:abstractNumId w:val="14"/>
  </w:num>
  <w:num w:numId="16" w16cid:durableId="441534522">
    <w:abstractNumId w:val="17"/>
  </w:num>
  <w:num w:numId="17" w16cid:durableId="783116979">
    <w:abstractNumId w:val="13"/>
  </w:num>
  <w:num w:numId="18" w16cid:durableId="1330910053">
    <w:abstractNumId w:val="9"/>
  </w:num>
  <w:num w:numId="19" w16cid:durableId="427428137">
    <w:abstractNumId w:val="19"/>
  </w:num>
  <w:num w:numId="20" w16cid:durableId="143737146">
    <w:abstractNumId w:val="2"/>
  </w:num>
  <w:num w:numId="21" w16cid:durableId="100613498">
    <w:abstractNumId w:val="12"/>
    <w:lvlOverride w:ilvl="0">
      <w:startOverride w:val="2"/>
    </w:lvlOverride>
    <w:lvlOverride w:ilvl="1">
      <w:startOverride w:val="1"/>
    </w:lvlOverride>
  </w:num>
  <w:num w:numId="22" w16cid:durableId="1089739962">
    <w:abstractNumId w:val="12"/>
    <w:lvlOverride w:ilvl="0">
      <w:startOverride w:val="2"/>
    </w:lvlOverride>
    <w:lvlOverride w:ilvl="1">
      <w:startOverride w:val="4"/>
    </w:lvlOverride>
  </w:num>
  <w:num w:numId="23" w16cid:durableId="1896965022">
    <w:abstractNumId w:val="19"/>
    <w:lvlOverride w:ilvl="0">
      <w:startOverride w:val="2"/>
    </w:lvlOverride>
    <w:lvlOverride w:ilvl="1">
      <w:startOverride w:val="5"/>
    </w:lvlOverride>
  </w:num>
  <w:num w:numId="24" w16cid:durableId="1669093439">
    <w:abstractNumId w:val="19"/>
    <w:lvlOverride w:ilvl="0">
      <w:startOverride w:val="6"/>
    </w:lvlOverride>
  </w:num>
  <w:num w:numId="25" w16cid:durableId="1318878505">
    <w:abstractNumId w:val="11"/>
  </w:num>
  <w:num w:numId="26" w16cid:durableId="937064153">
    <w:abstractNumId w:val="10"/>
  </w:num>
  <w:num w:numId="27" w16cid:durableId="1875803569">
    <w:abstractNumId w:val="15"/>
  </w:num>
  <w:num w:numId="28" w16cid:durableId="1643074058">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attachedTemplate r:id="rId1"/>
  <w:stylePaneSortMethod w:val="0000"/>
  <w:documentProtection w:formatting="1" w:enforcement="0"/>
  <w:styleLockTheme/>
  <w:styleLockQFSet/>
  <w:defaultTabStop w:val="720"/>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I1NTSzsDSxNLGwNDZX0lEKTi0uzszPAykwNKsFANu5PistAAAA"/>
  </w:docVars>
  <w:rsids>
    <w:rsidRoot w:val="00F609D7"/>
    <w:rsid w:val="0000046A"/>
    <w:rsid w:val="000027FD"/>
    <w:rsid w:val="00002F2F"/>
    <w:rsid w:val="0000343B"/>
    <w:rsid w:val="00006462"/>
    <w:rsid w:val="00006C8B"/>
    <w:rsid w:val="00006D77"/>
    <w:rsid w:val="00007236"/>
    <w:rsid w:val="00011476"/>
    <w:rsid w:val="00015265"/>
    <w:rsid w:val="000202E1"/>
    <w:rsid w:val="00021248"/>
    <w:rsid w:val="00021AE4"/>
    <w:rsid w:val="0002275E"/>
    <w:rsid w:val="00022C57"/>
    <w:rsid w:val="00022ECA"/>
    <w:rsid w:val="0002442E"/>
    <w:rsid w:val="0002553B"/>
    <w:rsid w:val="00025D78"/>
    <w:rsid w:val="00025E68"/>
    <w:rsid w:val="000314DA"/>
    <w:rsid w:val="0003229D"/>
    <w:rsid w:val="00032717"/>
    <w:rsid w:val="0003300D"/>
    <w:rsid w:val="000333ED"/>
    <w:rsid w:val="00033FC9"/>
    <w:rsid w:val="00034D49"/>
    <w:rsid w:val="0003502A"/>
    <w:rsid w:val="000360A5"/>
    <w:rsid w:val="00043625"/>
    <w:rsid w:val="00044641"/>
    <w:rsid w:val="000459BB"/>
    <w:rsid w:val="00045D32"/>
    <w:rsid w:val="00047A69"/>
    <w:rsid w:val="00050116"/>
    <w:rsid w:val="0005036E"/>
    <w:rsid w:val="00051080"/>
    <w:rsid w:val="00053378"/>
    <w:rsid w:val="00054AC2"/>
    <w:rsid w:val="0005553C"/>
    <w:rsid w:val="000555C7"/>
    <w:rsid w:val="000568FB"/>
    <w:rsid w:val="000570C1"/>
    <w:rsid w:val="0006090C"/>
    <w:rsid w:val="0006123E"/>
    <w:rsid w:val="00062A37"/>
    <w:rsid w:val="00062EB8"/>
    <w:rsid w:val="00063A6A"/>
    <w:rsid w:val="00063ACC"/>
    <w:rsid w:val="00063DCE"/>
    <w:rsid w:val="00064694"/>
    <w:rsid w:val="00065CAC"/>
    <w:rsid w:val="0006672C"/>
    <w:rsid w:val="000700D3"/>
    <w:rsid w:val="000737F4"/>
    <w:rsid w:val="000743E6"/>
    <w:rsid w:val="00074BD6"/>
    <w:rsid w:val="00075217"/>
    <w:rsid w:val="000767E0"/>
    <w:rsid w:val="0007738B"/>
    <w:rsid w:val="00077A6A"/>
    <w:rsid w:val="000822F3"/>
    <w:rsid w:val="000828FC"/>
    <w:rsid w:val="00082A45"/>
    <w:rsid w:val="000837CF"/>
    <w:rsid w:val="0008425A"/>
    <w:rsid w:val="00084C79"/>
    <w:rsid w:val="00085474"/>
    <w:rsid w:val="00086727"/>
    <w:rsid w:val="000868FF"/>
    <w:rsid w:val="0008721E"/>
    <w:rsid w:val="0008730E"/>
    <w:rsid w:val="00090215"/>
    <w:rsid w:val="00090D85"/>
    <w:rsid w:val="000914CA"/>
    <w:rsid w:val="00093635"/>
    <w:rsid w:val="00093ABF"/>
    <w:rsid w:val="00096B1A"/>
    <w:rsid w:val="00097BF7"/>
    <w:rsid w:val="000A057E"/>
    <w:rsid w:val="000A07C2"/>
    <w:rsid w:val="000A1DFC"/>
    <w:rsid w:val="000A3F14"/>
    <w:rsid w:val="000A42EA"/>
    <w:rsid w:val="000A4580"/>
    <w:rsid w:val="000A536B"/>
    <w:rsid w:val="000A7D9C"/>
    <w:rsid w:val="000B0D20"/>
    <w:rsid w:val="000B1ECC"/>
    <w:rsid w:val="000B226C"/>
    <w:rsid w:val="000B22F4"/>
    <w:rsid w:val="000B30EE"/>
    <w:rsid w:val="000B4854"/>
    <w:rsid w:val="000B5592"/>
    <w:rsid w:val="000B7B77"/>
    <w:rsid w:val="000C0176"/>
    <w:rsid w:val="000C26ED"/>
    <w:rsid w:val="000C3450"/>
    <w:rsid w:val="000C5B36"/>
    <w:rsid w:val="000C5B5F"/>
    <w:rsid w:val="000C5E81"/>
    <w:rsid w:val="000C6792"/>
    <w:rsid w:val="000D0BE1"/>
    <w:rsid w:val="000D2EF7"/>
    <w:rsid w:val="000D322E"/>
    <w:rsid w:val="000D4646"/>
    <w:rsid w:val="000D4E28"/>
    <w:rsid w:val="000D5EB0"/>
    <w:rsid w:val="000D635C"/>
    <w:rsid w:val="000D653F"/>
    <w:rsid w:val="000D6BB6"/>
    <w:rsid w:val="000E2511"/>
    <w:rsid w:val="000E40B7"/>
    <w:rsid w:val="000E58F5"/>
    <w:rsid w:val="000E598D"/>
    <w:rsid w:val="000F1036"/>
    <w:rsid w:val="000F597F"/>
    <w:rsid w:val="000F6846"/>
    <w:rsid w:val="000F74AE"/>
    <w:rsid w:val="000F7843"/>
    <w:rsid w:val="001003B6"/>
    <w:rsid w:val="001005DA"/>
    <w:rsid w:val="001008B0"/>
    <w:rsid w:val="001044A0"/>
    <w:rsid w:val="00106100"/>
    <w:rsid w:val="0010657F"/>
    <w:rsid w:val="00106757"/>
    <w:rsid w:val="00106D18"/>
    <w:rsid w:val="00110650"/>
    <w:rsid w:val="00112B56"/>
    <w:rsid w:val="00112D7A"/>
    <w:rsid w:val="00114950"/>
    <w:rsid w:val="001201B3"/>
    <w:rsid w:val="00123B8D"/>
    <w:rsid w:val="00123D65"/>
    <w:rsid w:val="0012553A"/>
    <w:rsid w:val="00127366"/>
    <w:rsid w:val="00127891"/>
    <w:rsid w:val="00127C74"/>
    <w:rsid w:val="0013119D"/>
    <w:rsid w:val="00132DCC"/>
    <w:rsid w:val="00134246"/>
    <w:rsid w:val="0013485F"/>
    <w:rsid w:val="0013594F"/>
    <w:rsid w:val="00135DE5"/>
    <w:rsid w:val="00137D9E"/>
    <w:rsid w:val="00141078"/>
    <w:rsid w:val="001418A1"/>
    <w:rsid w:val="00143B21"/>
    <w:rsid w:val="001442B2"/>
    <w:rsid w:val="00144E54"/>
    <w:rsid w:val="001452B5"/>
    <w:rsid w:val="001456DB"/>
    <w:rsid w:val="00151D33"/>
    <w:rsid w:val="00152413"/>
    <w:rsid w:val="0015250A"/>
    <w:rsid w:val="001548DB"/>
    <w:rsid w:val="00155101"/>
    <w:rsid w:val="00156AEB"/>
    <w:rsid w:val="001575F8"/>
    <w:rsid w:val="00157FB3"/>
    <w:rsid w:val="00160308"/>
    <w:rsid w:val="0016084A"/>
    <w:rsid w:val="001619A1"/>
    <w:rsid w:val="00161C76"/>
    <w:rsid w:val="00164CC1"/>
    <w:rsid w:val="00166C1C"/>
    <w:rsid w:val="00170499"/>
    <w:rsid w:val="00172BF7"/>
    <w:rsid w:val="001738AD"/>
    <w:rsid w:val="00173F28"/>
    <w:rsid w:val="0017418C"/>
    <w:rsid w:val="001741F1"/>
    <w:rsid w:val="001743F7"/>
    <w:rsid w:val="00174930"/>
    <w:rsid w:val="00174A81"/>
    <w:rsid w:val="00175DCE"/>
    <w:rsid w:val="00176180"/>
    <w:rsid w:val="001761F7"/>
    <w:rsid w:val="00176608"/>
    <w:rsid w:val="001809FD"/>
    <w:rsid w:val="00181887"/>
    <w:rsid w:val="00181D4B"/>
    <w:rsid w:val="00195231"/>
    <w:rsid w:val="00195D28"/>
    <w:rsid w:val="00196DDE"/>
    <w:rsid w:val="001A02B5"/>
    <w:rsid w:val="001A09E0"/>
    <w:rsid w:val="001A136F"/>
    <w:rsid w:val="001A291F"/>
    <w:rsid w:val="001A3E2E"/>
    <w:rsid w:val="001A3EC9"/>
    <w:rsid w:val="001A6EAB"/>
    <w:rsid w:val="001A72D0"/>
    <w:rsid w:val="001A7A92"/>
    <w:rsid w:val="001A7DA0"/>
    <w:rsid w:val="001B15AA"/>
    <w:rsid w:val="001B2E57"/>
    <w:rsid w:val="001B5051"/>
    <w:rsid w:val="001B5759"/>
    <w:rsid w:val="001B5F74"/>
    <w:rsid w:val="001B6A9F"/>
    <w:rsid w:val="001B7659"/>
    <w:rsid w:val="001C0BC7"/>
    <w:rsid w:val="001C373A"/>
    <w:rsid w:val="001C39C9"/>
    <w:rsid w:val="001C7070"/>
    <w:rsid w:val="001D1205"/>
    <w:rsid w:val="001D213B"/>
    <w:rsid w:val="001D5A82"/>
    <w:rsid w:val="001E0D9C"/>
    <w:rsid w:val="001E1158"/>
    <w:rsid w:val="001E168E"/>
    <w:rsid w:val="001E376F"/>
    <w:rsid w:val="001E3E2D"/>
    <w:rsid w:val="001E5954"/>
    <w:rsid w:val="001E5CBE"/>
    <w:rsid w:val="001E7A05"/>
    <w:rsid w:val="001F01DC"/>
    <w:rsid w:val="001F1C8D"/>
    <w:rsid w:val="001F2B07"/>
    <w:rsid w:val="001F2FFD"/>
    <w:rsid w:val="001F3CA9"/>
    <w:rsid w:val="001F5275"/>
    <w:rsid w:val="001F5D16"/>
    <w:rsid w:val="0020040B"/>
    <w:rsid w:val="00201266"/>
    <w:rsid w:val="00204BF4"/>
    <w:rsid w:val="00206F30"/>
    <w:rsid w:val="00207052"/>
    <w:rsid w:val="002071B5"/>
    <w:rsid w:val="002075A4"/>
    <w:rsid w:val="00207B7F"/>
    <w:rsid w:val="002101D4"/>
    <w:rsid w:val="00210791"/>
    <w:rsid w:val="002119C9"/>
    <w:rsid w:val="002135C5"/>
    <w:rsid w:val="00213FEF"/>
    <w:rsid w:val="00214AA1"/>
    <w:rsid w:val="00214D2E"/>
    <w:rsid w:val="00215D17"/>
    <w:rsid w:val="00216E69"/>
    <w:rsid w:val="00221CA3"/>
    <w:rsid w:val="00223508"/>
    <w:rsid w:val="00223532"/>
    <w:rsid w:val="00224D35"/>
    <w:rsid w:val="00226C77"/>
    <w:rsid w:val="0023017B"/>
    <w:rsid w:val="00230857"/>
    <w:rsid w:val="00232E5B"/>
    <w:rsid w:val="00233826"/>
    <w:rsid w:val="00234E80"/>
    <w:rsid w:val="00236F7E"/>
    <w:rsid w:val="00242624"/>
    <w:rsid w:val="00243283"/>
    <w:rsid w:val="0024328C"/>
    <w:rsid w:val="00243D09"/>
    <w:rsid w:val="00244DFE"/>
    <w:rsid w:val="00246B7A"/>
    <w:rsid w:val="0024705E"/>
    <w:rsid w:val="00247344"/>
    <w:rsid w:val="00251846"/>
    <w:rsid w:val="00253256"/>
    <w:rsid w:val="002536DA"/>
    <w:rsid w:val="00255C45"/>
    <w:rsid w:val="00256DDB"/>
    <w:rsid w:val="002617BA"/>
    <w:rsid w:val="002634F1"/>
    <w:rsid w:val="00263F7E"/>
    <w:rsid w:val="00264CFF"/>
    <w:rsid w:val="00265270"/>
    <w:rsid w:val="00266295"/>
    <w:rsid w:val="00266B74"/>
    <w:rsid w:val="002677EA"/>
    <w:rsid w:val="00267F69"/>
    <w:rsid w:val="00270452"/>
    <w:rsid w:val="00271E57"/>
    <w:rsid w:val="002722FC"/>
    <w:rsid w:val="002743DD"/>
    <w:rsid w:val="0027557F"/>
    <w:rsid w:val="00275F10"/>
    <w:rsid w:val="00276FAA"/>
    <w:rsid w:val="0027765A"/>
    <w:rsid w:val="00280C82"/>
    <w:rsid w:val="0028278E"/>
    <w:rsid w:val="00283DF5"/>
    <w:rsid w:val="00285FD7"/>
    <w:rsid w:val="00287452"/>
    <w:rsid w:val="00287A80"/>
    <w:rsid w:val="0029043B"/>
    <w:rsid w:val="0029130B"/>
    <w:rsid w:val="002922C1"/>
    <w:rsid w:val="00292910"/>
    <w:rsid w:val="00293429"/>
    <w:rsid w:val="002935E9"/>
    <w:rsid w:val="0029388C"/>
    <w:rsid w:val="00294938"/>
    <w:rsid w:val="00294B19"/>
    <w:rsid w:val="00294C86"/>
    <w:rsid w:val="002961B4"/>
    <w:rsid w:val="002A1489"/>
    <w:rsid w:val="002A1BC6"/>
    <w:rsid w:val="002A2ABB"/>
    <w:rsid w:val="002A3357"/>
    <w:rsid w:val="002A368C"/>
    <w:rsid w:val="002A3CA3"/>
    <w:rsid w:val="002A53BB"/>
    <w:rsid w:val="002A5709"/>
    <w:rsid w:val="002A7096"/>
    <w:rsid w:val="002A742E"/>
    <w:rsid w:val="002B2F78"/>
    <w:rsid w:val="002B4C5B"/>
    <w:rsid w:val="002B767C"/>
    <w:rsid w:val="002C1AA4"/>
    <w:rsid w:val="002C1D2B"/>
    <w:rsid w:val="002C237F"/>
    <w:rsid w:val="002C427E"/>
    <w:rsid w:val="002C4F89"/>
    <w:rsid w:val="002C5D04"/>
    <w:rsid w:val="002C5EFF"/>
    <w:rsid w:val="002C6052"/>
    <w:rsid w:val="002C7C2B"/>
    <w:rsid w:val="002C7FB6"/>
    <w:rsid w:val="002D00AD"/>
    <w:rsid w:val="002D45A0"/>
    <w:rsid w:val="002D5341"/>
    <w:rsid w:val="002E0489"/>
    <w:rsid w:val="002E0C0C"/>
    <w:rsid w:val="002E1F33"/>
    <w:rsid w:val="002E3469"/>
    <w:rsid w:val="002E37F8"/>
    <w:rsid w:val="002E41D1"/>
    <w:rsid w:val="002E4D96"/>
    <w:rsid w:val="002E7B06"/>
    <w:rsid w:val="002F11A3"/>
    <w:rsid w:val="002F15FF"/>
    <w:rsid w:val="002F1E34"/>
    <w:rsid w:val="002F1FB4"/>
    <w:rsid w:val="002F45DF"/>
    <w:rsid w:val="002F5BA2"/>
    <w:rsid w:val="002F685F"/>
    <w:rsid w:val="002F6A72"/>
    <w:rsid w:val="002F6AB8"/>
    <w:rsid w:val="0030033A"/>
    <w:rsid w:val="0030115E"/>
    <w:rsid w:val="0030130B"/>
    <w:rsid w:val="0030164E"/>
    <w:rsid w:val="00301F6B"/>
    <w:rsid w:val="003027E7"/>
    <w:rsid w:val="00303BB4"/>
    <w:rsid w:val="00303F29"/>
    <w:rsid w:val="00304A1D"/>
    <w:rsid w:val="003068A1"/>
    <w:rsid w:val="00306BFC"/>
    <w:rsid w:val="00306FA2"/>
    <w:rsid w:val="003072DA"/>
    <w:rsid w:val="00307348"/>
    <w:rsid w:val="00310D08"/>
    <w:rsid w:val="00312DF4"/>
    <w:rsid w:val="003147DD"/>
    <w:rsid w:val="00315CC7"/>
    <w:rsid w:val="00320A17"/>
    <w:rsid w:val="003242BC"/>
    <w:rsid w:val="00326DE4"/>
    <w:rsid w:val="00326F3D"/>
    <w:rsid w:val="003277E2"/>
    <w:rsid w:val="003310A9"/>
    <w:rsid w:val="0033217B"/>
    <w:rsid w:val="00332C9F"/>
    <w:rsid w:val="00333B70"/>
    <w:rsid w:val="0033574C"/>
    <w:rsid w:val="003366D6"/>
    <w:rsid w:val="003371A0"/>
    <w:rsid w:val="003374A3"/>
    <w:rsid w:val="0033758B"/>
    <w:rsid w:val="0034175A"/>
    <w:rsid w:val="003419B5"/>
    <w:rsid w:val="003431FF"/>
    <w:rsid w:val="00343343"/>
    <w:rsid w:val="003449BD"/>
    <w:rsid w:val="00344B40"/>
    <w:rsid w:val="00345C8A"/>
    <w:rsid w:val="00346DAE"/>
    <w:rsid w:val="00347041"/>
    <w:rsid w:val="00347946"/>
    <w:rsid w:val="003504BB"/>
    <w:rsid w:val="00353C0D"/>
    <w:rsid w:val="003544DE"/>
    <w:rsid w:val="00355706"/>
    <w:rsid w:val="00360070"/>
    <w:rsid w:val="00360C06"/>
    <w:rsid w:val="00361265"/>
    <w:rsid w:val="003618A8"/>
    <w:rsid w:val="00361E4C"/>
    <w:rsid w:val="00362B0C"/>
    <w:rsid w:val="00364B5A"/>
    <w:rsid w:val="00365A98"/>
    <w:rsid w:val="00366B60"/>
    <w:rsid w:val="00371B3B"/>
    <w:rsid w:val="00376685"/>
    <w:rsid w:val="00376BBC"/>
    <w:rsid w:val="003813E0"/>
    <w:rsid w:val="00381653"/>
    <w:rsid w:val="003824E8"/>
    <w:rsid w:val="00382689"/>
    <w:rsid w:val="00382D4A"/>
    <w:rsid w:val="003835DB"/>
    <w:rsid w:val="00390095"/>
    <w:rsid w:val="0039149E"/>
    <w:rsid w:val="003942B1"/>
    <w:rsid w:val="0039641C"/>
    <w:rsid w:val="0039707D"/>
    <w:rsid w:val="0039745F"/>
    <w:rsid w:val="003A012E"/>
    <w:rsid w:val="003A082D"/>
    <w:rsid w:val="003A275C"/>
    <w:rsid w:val="003A2D93"/>
    <w:rsid w:val="003A3169"/>
    <w:rsid w:val="003A3BBB"/>
    <w:rsid w:val="003A3D56"/>
    <w:rsid w:val="003A5359"/>
    <w:rsid w:val="003A6E5E"/>
    <w:rsid w:val="003B1F13"/>
    <w:rsid w:val="003B2541"/>
    <w:rsid w:val="003B25C2"/>
    <w:rsid w:val="003B3CD8"/>
    <w:rsid w:val="003B64B4"/>
    <w:rsid w:val="003B686E"/>
    <w:rsid w:val="003B717F"/>
    <w:rsid w:val="003C0A7B"/>
    <w:rsid w:val="003C1493"/>
    <w:rsid w:val="003C2AAE"/>
    <w:rsid w:val="003C3B15"/>
    <w:rsid w:val="003C549D"/>
    <w:rsid w:val="003C6DEB"/>
    <w:rsid w:val="003D04F5"/>
    <w:rsid w:val="003D0FFE"/>
    <w:rsid w:val="003E0D14"/>
    <w:rsid w:val="003E1AE7"/>
    <w:rsid w:val="003E1FC8"/>
    <w:rsid w:val="003E497F"/>
    <w:rsid w:val="003E512F"/>
    <w:rsid w:val="003E5FDB"/>
    <w:rsid w:val="003E6A0B"/>
    <w:rsid w:val="003E78CA"/>
    <w:rsid w:val="003F00F4"/>
    <w:rsid w:val="003F0CBB"/>
    <w:rsid w:val="003F4C57"/>
    <w:rsid w:val="003F5BA0"/>
    <w:rsid w:val="003F6B44"/>
    <w:rsid w:val="003F7817"/>
    <w:rsid w:val="004000AB"/>
    <w:rsid w:val="0040116C"/>
    <w:rsid w:val="004019B4"/>
    <w:rsid w:val="00402650"/>
    <w:rsid w:val="00404D54"/>
    <w:rsid w:val="00404FBA"/>
    <w:rsid w:val="00405119"/>
    <w:rsid w:val="0040598E"/>
    <w:rsid w:val="00406D35"/>
    <w:rsid w:val="00407EC1"/>
    <w:rsid w:val="004100CB"/>
    <w:rsid w:val="00412763"/>
    <w:rsid w:val="004155CD"/>
    <w:rsid w:val="00416CCE"/>
    <w:rsid w:val="004171E1"/>
    <w:rsid w:val="0041786F"/>
    <w:rsid w:val="00417E5D"/>
    <w:rsid w:val="00422DED"/>
    <w:rsid w:val="004232AD"/>
    <w:rsid w:val="00423C75"/>
    <w:rsid w:val="00427D8B"/>
    <w:rsid w:val="00427ED1"/>
    <w:rsid w:val="0043036E"/>
    <w:rsid w:val="00430D7C"/>
    <w:rsid w:val="00431EB9"/>
    <w:rsid w:val="0043407A"/>
    <w:rsid w:val="004341C7"/>
    <w:rsid w:val="00434268"/>
    <w:rsid w:val="00435127"/>
    <w:rsid w:val="004408B3"/>
    <w:rsid w:val="00440C10"/>
    <w:rsid w:val="00440DA7"/>
    <w:rsid w:val="00443D9E"/>
    <w:rsid w:val="00446995"/>
    <w:rsid w:val="004478E9"/>
    <w:rsid w:val="004532DA"/>
    <w:rsid w:val="00454C95"/>
    <w:rsid w:val="00460B93"/>
    <w:rsid w:val="00461452"/>
    <w:rsid w:val="0046229D"/>
    <w:rsid w:val="00464E76"/>
    <w:rsid w:val="00465506"/>
    <w:rsid w:val="00466C83"/>
    <w:rsid w:val="00466E5D"/>
    <w:rsid w:val="00471710"/>
    <w:rsid w:val="004732AD"/>
    <w:rsid w:val="00475E17"/>
    <w:rsid w:val="004809DA"/>
    <w:rsid w:val="00483CAD"/>
    <w:rsid w:val="0048684A"/>
    <w:rsid w:val="00486E91"/>
    <w:rsid w:val="00487145"/>
    <w:rsid w:val="004901B9"/>
    <w:rsid w:val="00491CD8"/>
    <w:rsid w:val="00491EB8"/>
    <w:rsid w:val="00492165"/>
    <w:rsid w:val="004A2807"/>
    <w:rsid w:val="004A4137"/>
    <w:rsid w:val="004A51CF"/>
    <w:rsid w:val="004A591A"/>
    <w:rsid w:val="004A76AF"/>
    <w:rsid w:val="004A7DCE"/>
    <w:rsid w:val="004B0473"/>
    <w:rsid w:val="004B26A3"/>
    <w:rsid w:val="004B361B"/>
    <w:rsid w:val="004B4484"/>
    <w:rsid w:val="004B5426"/>
    <w:rsid w:val="004B6C87"/>
    <w:rsid w:val="004C0891"/>
    <w:rsid w:val="004C13FE"/>
    <w:rsid w:val="004C1AAE"/>
    <w:rsid w:val="004C1DEC"/>
    <w:rsid w:val="004C1FD6"/>
    <w:rsid w:val="004C2CA1"/>
    <w:rsid w:val="004C2EF9"/>
    <w:rsid w:val="004C3357"/>
    <w:rsid w:val="004C36F2"/>
    <w:rsid w:val="004C3903"/>
    <w:rsid w:val="004C3F75"/>
    <w:rsid w:val="004C5998"/>
    <w:rsid w:val="004C5C1B"/>
    <w:rsid w:val="004C6101"/>
    <w:rsid w:val="004C638F"/>
    <w:rsid w:val="004C6DF6"/>
    <w:rsid w:val="004C7C18"/>
    <w:rsid w:val="004C7D96"/>
    <w:rsid w:val="004D05B5"/>
    <w:rsid w:val="004D0967"/>
    <w:rsid w:val="004D10F4"/>
    <w:rsid w:val="004D1B01"/>
    <w:rsid w:val="004D2BAE"/>
    <w:rsid w:val="004D72A0"/>
    <w:rsid w:val="004D791D"/>
    <w:rsid w:val="004D7D5C"/>
    <w:rsid w:val="004E0576"/>
    <w:rsid w:val="004E067E"/>
    <w:rsid w:val="004E090C"/>
    <w:rsid w:val="004E0964"/>
    <w:rsid w:val="004E1B4E"/>
    <w:rsid w:val="004E2853"/>
    <w:rsid w:val="004E360A"/>
    <w:rsid w:val="004E44D7"/>
    <w:rsid w:val="004E4857"/>
    <w:rsid w:val="004E543F"/>
    <w:rsid w:val="004E6598"/>
    <w:rsid w:val="004E69B8"/>
    <w:rsid w:val="004E7348"/>
    <w:rsid w:val="004E776E"/>
    <w:rsid w:val="004E7A32"/>
    <w:rsid w:val="004E7E6A"/>
    <w:rsid w:val="004F056B"/>
    <w:rsid w:val="004F10C3"/>
    <w:rsid w:val="004F136C"/>
    <w:rsid w:val="004F27F8"/>
    <w:rsid w:val="004F3A6C"/>
    <w:rsid w:val="004F3F88"/>
    <w:rsid w:val="004F65FB"/>
    <w:rsid w:val="004F6DDD"/>
    <w:rsid w:val="004F7E8F"/>
    <w:rsid w:val="00501D98"/>
    <w:rsid w:val="0050288F"/>
    <w:rsid w:val="00503EEB"/>
    <w:rsid w:val="005054DE"/>
    <w:rsid w:val="00505A9A"/>
    <w:rsid w:val="00506B04"/>
    <w:rsid w:val="005078DC"/>
    <w:rsid w:val="00513ED6"/>
    <w:rsid w:val="00514CEE"/>
    <w:rsid w:val="00516AB0"/>
    <w:rsid w:val="005170CE"/>
    <w:rsid w:val="0052001B"/>
    <w:rsid w:val="005217A9"/>
    <w:rsid w:val="005219F8"/>
    <w:rsid w:val="00521F1B"/>
    <w:rsid w:val="005236F9"/>
    <w:rsid w:val="0052577C"/>
    <w:rsid w:val="00526937"/>
    <w:rsid w:val="00526AFA"/>
    <w:rsid w:val="00531601"/>
    <w:rsid w:val="0053195B"/>
    <w:rsid w:val="00532420"/>
    <w:rsid w:val="00532940"/>
    <w:rsid w:val="00534E03"/>
    <w:rsid w:val="0053643B"/>
    <w:rsid w:val="00537397"/>
    <w:rsid w:val="00537A9C"/>
    <w:rsid w:val="00537F47"/>
    <w:rsid w:val="00540031"/>
    <w:rsid w:val="00540346"/>
    <w:rsid w:val="005412E0"/>
    <w:rsid w:val="005454FB"/>
    <w:rsid w:val="005461F9"/>
    <w:rsid w:val="005471D1"/>
    <w:rsid w:val="00547B85"/>
    <w:rsid w:val="00547BED"/>
    <w:rsid w:val="0055091A"/>
    <w:rsid w:val="00552FAE"/>
    <w:rsid w:val="00553D03"/>
    <w:rsid w:val="00553D54"/>
    <w:rsid w:val="005561A5"/>
    <w:rsid w:val="005607D3"/>
    <w:rsid w:val="00560CD7"/>
    <w:rsid w:val="00561CD9"/>
    <w:rsid w:val="005630D5"/>
    <w:rsid w:val="0056321F"/>
    <w:rsid w:val="00563332"/>
    <w:rsid w:val="00564CE7"/>
    <w:rsid w:val="005659C3"/>
    <w:rsid w:val="00567246"/>
    <w:rsid w:val="00571F04"/>
    <w:rsid w:val="00573A59"/>
    <w:rsid w:val="0057685D"/>
    <w:rsid w:val="005768FF"/>
    <w:rsid w:val="00576EA7"/>
    <w:rsid w:val="005840FE"/>
    <w:rsid w:val="005846EB"/>
    <w:rsid w:val="00585402"/>
    <w:rsid w:val="005858D9"/>
    <w:rsid w:val="00586540"/>
    <w:rsid w:val="00586CAE"/>
    <w:rsid w:val="00586E6A"/>
    <w:rsid w:val="005870A5"/>
    <w:rsid w:val="00587532"/>
    <w:rsid w:val="00591466"/>
    <w:rsid w:val="00592480"/>
    <w:rsid w:val="00593294"/>
    <w:rsid w:val="005942CC"/>
    <w:rsid w:val="00594471"/>
    <w:rsid w:val="00594B24"/>
    <w:rsid w:val="0059515B"/>
    <w:rsid w:val="00596B43"/>
    <w:rsid w:val="005975AC"/>
    <w:rsid w:val="005978B7"/>
    <w:rsid w:val="00597CD6"/>
    <w:rsid w:val="005A03F8"/>
    <w:rsid w:val="005A0517"/>
    <w:rsid w:val="005A4EB1"/>
    <w:rsid w:val="005A611A"/>
    <w:rsid w:val="005A700B"/>
    <w:rsid w:val="005A7D90"/>
    <w:rsid w:val="005B0324"/>
    <w:rsid w:val="005B2023"/>
    <w:rsid w:val="005B29E6"/>
    <w:rsid w:val="005B3775"/>
    <w:rsid w:val="005B3B0D"/>
    <w:rsid w:val="005B6735"/>
    <w:rsid w:val="005B75C3"/>
    <w:rsid w:val="005B7AB8"/>
    <w:rsid w:val="005C04BD"/>
    <w:rsid w:val="005C1C38"/>
    <w:rsid w:val="005C1E5C"/>
    <w:rsid w:val="005C339A"/>
    <w:rsid w:val="005C3CB2"/>
    <w:rsid w:val="005C6770"/>
    <w:rsid w:val="005C77D6"/>
    <w:rsid w:val="005C7E01"/>
    <w:rsid w:val="005D016F"/>
    <w:rsid w:val="005D066C"/>
    <w:rsid w:val="005D0CDE"/>
    <w:rsid w:val="005D319F"/>
    <w:rsid w:val="005D3601"/>
    <w:rsid w:val="005D46A9"/>
    <w:rsid w:val="005D4753"/>
    <w:rsid w:val="005D6FE0"/>
    <w:rsid w:val="005E120F"/>
    <w:rsid w:val="005E3548"/>
    <w:rsid w:val="005E38DB"/>
    <w:rsid w:val="005E39A4"/>
    <w:rsid w:val="005E3EF9"/>
    <w:rsid w:val="005E58EC"/>
    <w:rsid w:val="005E6338"/>
    <w:rsid w:val="005E75B9"/>
    <w:rsid w:val="005F092A"/>
    <w:rsid w:val="005F1ED0"/>
    <w:rsid w:val="005F29FB"/>
    <w:rsid w:val="005F3F08"/>
    <w:rsid w:val="005F4D02"/>
    <w:rsid w:val="005F6102"/>
    <w:rsid w:val="005F63FE"/>
    <w:rsid w:val="005F6B7A"/>
    <w:rsid w:val="005F6E1A"/>
    <w:rsid w:val="005F7211"/>
    <w:rsid w:val="005F7590"/>
    <w:rsid w:val="00601921"/>
    <w:rsid w:val="0060422A"/>
    <w:rsid w:val="00604284"/>
    <w:rsid w:val="00605024"/>
    <w:rsid w:val="006109D7"/>
    <w:rsid w:val="00611D4F"/>
    <w:rsid w:val="006126E7"/>
    <w:rsid w:val="00614DBA"/>
    <w:rsid w:val="00615813"/>
    <w:rsid w:val="00616B30"/>
    <w:rsid w:val="006170A8"/>
    <w:rsid w:val="0061781C"/>
    <w:rsid w:val="00621052"/>
    <w:rsid w:val="00623518"/>
    <w:rsid w:val="00623B94"/>
    <w:rsid w:val="0062406A"/>
    <w:rsid w:val="00625760"/>
    <w:rsid w:val="006304B1"/>
    <w:rsid w:val="00631543"/>
    <w:rsid w:val="00631835"/>
    <w:rsid w:val="00632E5C"/>
    <w:rsid w:val="00633CA0"/>
    <w:rsid w:val="006343DE"/>
    <w:rsid w:val="00634FB8"/>
    <w:rsid w:val="00635263"/>
    <w:rsid w:val="00635836"/>
    <w:rsid w:val="0063589A"/>
    <w:rsid w:val="006366E4"/>
    <w:rsid w:val="0063677F"/>
    <w:rsid w:val="00637D4B"/>
    <w:rsid w:val="0064052E"/>
    <w:rsid w:val="006419A4"/>
    <w:rsid w:val="00641A7B"/>
    <w:rsid w:val="00641FC2"/>
    <w:rsid w:val="006436BE"/>
    <w:rsid w:val="006439C1"/>
    <w:rsid w:val="00644414"/>
    <w:rsid w:val="006450C8"/>
    <w:rsid w:val="00645655"/>
    <w:rsid w:val="006456E2"/>
    <w:rsid w:val="00645F9D"/>
    <w:rsid w:val="00646D47"/>
    <w:rsid w:val="00650962"/>
    <w:rsid w:val="006521F2"/>
    <w:rsid w:val="0065262D"/>
    <w:rsid w:val="00652989"/>
    <w:rsid w:val="00652EB3"/>
    <w:rsid w:val="0065412F"/>
    <w:rsid w:val="00655F94"/>
    <w:rsid w:val="006567EF"/>
    <w:rsid w:val="00656994"/>
    <w:rsid w:val="00657E13"/>
    <w:rsid w:val="006605A3"/>
    <w:rsid w:val="00662D88"/>
    <w:rsid w:val="00664373"/>
    <w:rsid w:val="00665243"/>
    <w:rsid w:val="0066594B"/>
    <w:rsid w:val="00666818"/>
    <w:rsid w:val="00666B74"/>
    <w:rsid w:val="006675C0"/>
    <w:rsid w:val="006677B7"/>
    <w:rsid w:val="00672595"/>
    <w:rsid w:val="006729B9"/>
    <w:rsid w:val="00673205"/>
    <w:rsid w:val="00675115"/>
    <w:rsid w:val="006754F8"/>
    <w:rsid w:val="00676A86"/>
    <w:rsid w:val="00676DF7"/>
    <w:rsid w:val="00677AAF"/>
    <w:rsid w:val="00677CEE"/>
    <w:rsid w:val="00677E3B"/>
    <w:rsid w:val="006806AC"/>
    <w:rsid w:val="0068108D"/>
    <w:rsid w:val="00681A10"/>
    <w:rsid w:val="0068236A"/>
    <w:rsid w:val="006851B6"/>
    <w:rsid w:val="00685479"/>
    <w:rsid w:val="00685741"/>
    <w:rsid w:val="0068635B"/>
    <w:rsid w:val="00692F08"/>
    <w:rsid w:val="0069391A"/>
    <w:rsid w:val="00694993"/>
    <w:rsid w:val="00694A13"/>
    <w:rsid w:val="00697180"/>
    <w:rsid w:val="00697790"/>
    <w:rsid w:val="006A09D8"/>
    <w:rsid w:val="006A27DD"/>
    <w:rsid w:val="006A2E18"/>
    <w:rsid w:val="006A2F27"/>
    <w:rsid w:val="006A3861"/>
    <w:rsid w:val="006A3ACB"/>
    <w:rsid w:val="006A4DED"/>
    <w:rsid w:val="006A55A6"/>
    <w:rsid w:val="006A7B84"/>
    <w:rsid w:val="006B2A9F"/>
    <w:rsid w:val="006B56A9"/>
    <w:rsid w:val="006B58F6"/>
    <w:rsid w:val="006B631E"/>
    <w:rsid w:val="006B64AA"/>
    <w:rsid w:val="006B68BB"/>
    <w:rsid w:val="006B6B97"/>
    <w:rsid w:val="006B6C7B"/>
    <w:rsid w:val="006B7276"/>
    <w:rsid w:val="006C035D"/>
    <w:rsid w:val="006C0A22"/>
    <w:rsid w:val="006C1770"/>
    <w:rsid w:val="006C1D69"/>
    <w:rsid w:val="006C23E9"/>
    <w:rsid w:val="006C5F41"/>
    <w:rsid w:val="006C7830"/>
    <w:rsid w:val="006C7EFD"/>
    <w:rsid w:val="006D09B9"/>
    <w:rsid w:val="006D09FB"/>
    <w:rsid w:val="006D2282"/>
    <w:rsid w:val="006D2F2F"/>
    <w:rsid w:val="006D4DAA"/>
    <w:rsid w:val="006D5618"/>
    <w:rsid w:val="006D5C1D"/>
    <w:rsid w:val="006D630C"/>
    <w:rsid w:val="006D6479"/>
    <w:rsid w:val="006D6D4B"/>
    <w:rsid w:val="006E018E"/>
    <w:rsid w:val="006E0659"/>
    <w:rsid w:val="006E3E25"/>
    <w:rsid w:val="006E40C8"/>
    <w:rsid w:val="006E4771"/>
    <w:rsid w:val="006E5519"/>
    <w:rsid w:val="006E6171"/>
    <w:rsid w:val="006F1474"/>
    <w:rsid w:val="006F3A9A"/>
    <w:rsid w:val="006F47DB"/>
    <w:rsid w:val="006F643F"/>
    <w:rsid w:val="006F698D"/>
    <w:rsid w:val="00702CF0"/>
    <w:rsid w:val="007034F3"/>
    <w:rsid w:val="00703F4B"/>
    <w:rsid w:val="00706AB3"/>
    <w:rsid w:val="0071025D"/>
    <w:rsid w:val="00710325"/>
    <w:rsid w:val="00710AA6"/>
    <w:rsid w:val="0071195C"/>
    <w:rsid w:val="00711AB5"/>
    <w:rsid w:val="0071258E"/>
    <w:rsid w:val="007127D3"/>
    <w:rsid w:val="007128CF"/>
    <w:rsid w:val="00713DB4"/>
    <w:rsid w:val="00714964"/>
    <w:rsid w:val="007206A8"/>
    <w:rsid w:val="007208CC"/>
    <w:rsid w:val="007209E8"/>
    <w:rsid w:val="00720D97"/>
    <w:rsid w:val="00721BC9"/>
    <w:rsid w:val="0072260F"/>
    <w:rsid w:val="0072304B"/>
    <w:rsid w:val="0072428A"/>
    <w:rsid w:val="007243EE"/>
    <w:rsid w:val="007270B9"/>
    <w:rsid w:val="007327DD"/>
    <w:rsid w:val="00732BF7"/>
    <w:rsid w:val="00732F10"/>
    <w:rsid w:val="00733D25"/>
    <w:rsid w:val="00735C05"/>
    <w:rsid w:val="00735D4F"/>
    <w:rsid w:val="00737B9E"/>
    <w:rsid w:val="007416CF"/>
    <w:rsid w:val="00741D06"/>
    <w:rsid w:val="00742050"/>
    <w:rsid w:val="007434C3"/>
    <w:rsid w:val="00747161"/>
    <w:rsid w:val="00747232"/>
    <w:rsid w:val="00750EBD"/>
    <w:rsid w:val="00753D36"/>
    <w:rsid w:val="007544E3"/>
    <w:rsid w:val="00754D90"/>
    <w:rsid w:val="00755BFE"/>
    <w:rsid w:val="00762816"/>
    <w:rsid w:val="007639B5"/>
    <w:rsid w:val="00763FCD"/>
    <w:rsid w:val="00765C97"/>
    <w:rsid w:val="00765DB7"/>
    <w:rsid w:val="007662F9"/>
    <w:rsid w:val="007665AD"/>
    <w:rsid w:val="00767FA7"/>
    <w:rsid w:val="00773915"/>
    <w:rsid w:val="007745AF"/>
    <w:rsid w:val="00776261"/>
    <w:rsid w:val="0077702D"/>
    <w:rsid w:val="00777478"/>
    <w:rsid w:val="00780900"/>
    <w:rsid w:val="0078138B"/>
    <w:rsid w:val="00781A83"/>
    <w:rsid w:val="00782305"/>
    <w:rsid w:val="00782489"/>
    <w:rsid w:val="007825E0"/>
    <w:rsid w:val="00783909"/>
    <w:rsid w:val="0078441D"/>
    <w:rsid w:val="00784BAE"/>
    <w:rsid w:val="007867C4"/>
    <w:rsid w:val="00786C95"/>
    <w:rsid w:val="00787317"/>
    <w:rsid w:val="0078796D"/>
    <w:rsid w:val="00787B01"/>
    <w:rsid w:val="00787F2B"/>
    <w:rsid w:val="007905B3"/>
    <w:rsid w:val="00793205"/>
    <w:rsid w:val="00793295"/>
    <w:rsid w:val="0079389D"/>
    <w:rsid w:val="007939BF"/>
    <w:rsid w:val="0079415C"/>
    <w:rsid w:val="007A1392"/>
    <w:rsid w:val="007A4514"/>
    <w:rsid w:val="007A4668"/>
    <w:rsid w:val="007A5E73"/>
    <w:rsid w:val="007A64D9"/>
    <w:rsid w:val="007B1DF1"/>
    <w:rsid w:val="007B495C"/>
    <w:rsid w:val="007B4D7D"/>
    <w:rsid w:val="007B5211"/>
    <w:rsid w:val="007B6273"/>
    <w:rsid w:val="007B6FFB"/>
    <w:rsid w:val="007C239B"/>
    <w:rsid w:val="007C48DB"/>
    <w:rsid w:val="007C50F1"/>
    <w:rsid w:val="007C6BAA"/>
    <w:rsid w:val="007C774A"/>
    <w:rsid w:val="007D0415"/>
    <w:rsid w:val="007D0448"/>
    <w:rsid w:val="007D0504"/>
    <w:rsid w:val="007D3E1F"/>
    <w:rsid w:val="007D3F14"/>
    <w:rsid w:val="007D6887"/>
    <w:rsid w:val="007E09E2"/>
    <w:rsid w:val="007E1608"/>
    <w:rsid w:val="007E2D14"/>
    <w:rsid w:val="007E31E4"/>
    <w:rsid w:val="007E43A7"/>
    <w:rsid w:val="007E50B2"/>
    <w:rsid w:val="007E5649"/>
    <w:rsid w:val="007E6720"/>
    <w:rsid w:val="007E7670"/>
    <w:rsid w:val="007F02EC"/>
    <w:rsid w:val="007F0C8D"/>
    <w:rsid w:val="007F1F46"/>
    <w:rsid w:val="007F23D8"/>
    <w:rsid w:val="007F2AC1"/>
    <w:rsid w:val="007F2C05"/>
    <w:rsid w:val="007F4EBE"/>
    <w:rsid w:val="007F64D4"/>
    <w:rsid w:val="007F696E"/>
    <w:rsid w:val="007F73AF"/>
    <w:rsid w:val="00800843"/>
    <w:rsid w:val="00800A0E"/>
    <w:rsid w:val="00801736"/>
    <w:rsid w:val="00802E69"/>
    <w:rsid w:val="008051D1"/>
    <w:rsid w:val="0080543D"/>
    <w:rsid w:val="00805A9A"/>
    <w:rsid w:val="008069A3"/>
    <w:rsid w:val="00806B87"/>
    <w:rsid w:val="00811A26"/>
    <w:rsid w:val="008134E8"/>
    <w:rsid w:val="00813D24"/>
    <w:rsid w:val="00814677"/>
    <w:rsid w:val="00814B11"/>
    <w:rsid w:val="008150F2"/>
    <w:rsid w:val="00817A4C"/>
    <w:rsid w:val="00817C59"/>
    <w:rsid w:val="00817C6A"/>
    <w:rsid w:val="008204C0"/>
    <w:rsid w:val="00821AF5"/>
    <w:rsid w:val="0082549F"/>
    <w:rsid w:val="00825889"/>
    <w:rsid w:val="00825AB1"/>
    <w:rsid w:val="008269DF"/>
    <w:rsid w:val="008278DC"/>
    <w:rsid w:val="00827BDA"/>
    <w:rsid w:val="008312B4"/>
    <w:rsid w:val="00834A14"/>
    <w:rsid w:val="0083597A"/>
    <w:rsid w:val="00836043"/>
    <w:rsid w:val="00836F94"/>
    <w:rsid w:val="00837EAB"/>
    <w:rsid w:val="008419CC"/>
    <w:rsid w:val="00846319"/>
    <w:rsid w:val="0084656B"/>
    <w:rsid w:val="008529AB"/>
    <w:rsid w:val="00853529"/>
    <w:rsid w:val="008604CD"/>
    <w:rsid w:val="00862049"/>
    <w:rsid w:val="00864E87"/>
    <w:rsid w:val="00867591"/>
    <w:rsid w:val="008701A4"/>
    <w:rsid w:val="008704B0"/>
    <w:rsid w:val="00870578"/>
    <w:rsid w:val="00871378"/>
    <w:rsid w:val="00871708"/>
    <w:rsid w:val="00872B9F"/>
    <w:rsid w:val="00873B79"/>
    <w:rsid w:val="00873F8B"/>
    <w:rsid w:val="00875180"/>
    <w:rsid w:val="00876550"/>
    <w:rsid w:val="008769D3"/>
    <w:rsid w:val="00876F2C"/>
    <w:rsid w:val="008802CA"/>
    <w:rsid w:val="00881550"/>
    <w:rsid w:val="00881978"/>
    <w:rsid w:val="00881B6C"/>
    <w:rsid w:val="0088210E"/>
    <w:rsid w:val="00884595"/>
    <w:rsid w:val="008867DD"/>
    <w:rsid w:val="00887154"/>
    <w:rsid w:val="00890545"/>
    <w:rsid w:val="008913A0"/>
    <w:rsid w:val="00891E63"/>
    <w:rsid w:val="0089325A"/>
    <w:rsid w:val="00893D69"/>
    <w:rsid w:val="00893F17"/>
    <w:rsid w:val="00894CD9"/>
    <w:rsid w:val="00894E68"/>
    <w:rsid w:val="00897900"/>
    <w:rsid w:val="00897914"/>
    <w:rsid w:val="008A0E25"/>
    <w:rsid w:val="008A1339"/>
    <w:rsid w:val="008A4BCA"/>
    <w:rsid w:val="008A526F"/>
    <w:rsid w:val="008A639C"/>
    <w:rsid w:val="008A7ED0"/>
    <w:rsid w:val="008B00C6"/>
    <w:rsid w:val="008B0187"/>
    <w:rsid w:val="008B1E76"/>
    <w:rsid w:val="008B2521"/>
    <w:rsid w:val="008B26EB"/>
    <w:rsid w:val="008B3462"/>
    <w:rsid w:val="008B3C26"/>
    <w:rsid w:val="008B6421"/>
    <w:rsid w:val="008B7143"/>
    <w:rsid w:val="008B7E77"/>
    <w:rsid w:val="008C14EF"/>
    <w:rsid w:val="008C2A37"/>
    <w:rsid w:val="008C552F"/>
    <w:rsid w:val="008D04CA"/>
    <w:rsid w:val="008D09BF"/>
    <w:rsid w:val="008D135F"/>
    <w:rsid w:val="008D2E33"/>
    <w:rsid w:val="008D6AED"/>
    <w:rsid w:val="008D7CA5"/>
    <w:rsid w:val="008E12EF"/>
    <w:rsid w:val="008E305A"/>
    <w:rsid w:val="008E5BF1"/>
    <w:rsid w:val="008E5EFC"/>
    <w:rsid w:val="008E5F4B"/>
    <w:rsid w:val="008E603F"/>
    <w:rsid w:val="008E6226"/>
    <w:rsid w:val="008F10F1"/>
    <w:rsid w:val="008F428A"/>
    <w:rsid w:val="008F47F4"/>
    <w:rsid w:val="008F590E"/>
    <w:rsid w:val="008F6A11"/>
    <w:rsid w:val="008F719C"/>
    <w:rsid w:val="008F7A93"/>
    <w:rsid w:val="009011A3"/>
    <w:rsid w:val="00902CD6"/>
    <w:rsid w:val="00903CC4"/>
    <w:rsid w:val="00903E88"/>
    <w:rsid w:val="00903F37"/>
    <w:rsid w:val="00904F78"/>
    <w:rsid w:val="00907E64"/>
    <w:rsid w:val="009111C1"/>
    <w:rsid w:val="00911878"/>
    <w:rsid w:val="00912474"/>
    <w:rsid w:val="00913A94"/>
    <w:rsid w:val="00913C71"/>
    <w:rsid w:val="0091679E"/>
    <w:rsid w:val="00916CA6"/>
    <w:rsid w:val="00923306"/>
    <w:rsid w:val="00925942"/>
    <w:rsid w:val="00926771"/>
    <w:rsid w:val="00931E27"/>
    <w:rsid w:val="00932047"/>
    <w:rsid w:val="009336EE"/>
    <w:rsid w:val="00933A30"/>
    <w:rsid w:val="00934348"/>
    <w:rsid w:val="009349C9"/>
    <w:rsid w:val="00936CEE"/>
    <w:rsid w:val="00940258"/>
    <w:rsid w:val="009421FF"/>
    <w:rsid w:val="00943356"/>
    <w:rsid w:val="00943BFC"/>
    <w:rsid w:val="00943DD0"/>
    <w:rsid w:val="00945F0B"/>
    <w:rsid w:val="009462EC"/>
    <w:rsid w:val="009512DC"/>
    <w:rsid w:val="00953234"/>
    <w:rsid w:val="00953C04"/>
    <w:rsid w:val="00954AC9"/>
    <w:rsid w:val="00954B93"/>
    <w:rsid w:val="00957099"/>
    <w:rsid w:val="009576BE"/>
    <w:rsid w:val="00957F40"/>
    <w:rsid w:val="00962AC4"/>
    <w:rsid w:val="00962ED0"/>
    <w:rsid w:val="00964212"/>
    <w:rsid w:val="00964796"/>
    <w:rsid w:val="00964F64"/>
    <w:rsid w:val="009663BF"/>
    <w:rsid w:val="00970AFB"/>
    <w:rsid w:val="00970F35"/>
    <w:rsid w:val="00973134"/>
    <w:rsid w:val="0097491B"/>
    <w:rsid w:val="00974FEB"/>
    <w:rsid w:val="00976F29"/>
    <w:rsid w:val="00977D57"/>
    <w:rsid w:val="00984DFC"/>
    <w:rsid w:val="00991BB8"/>
    <w:rsid w:val="00992BA0"/>
    <w:rsid w:val="0099344A"/>
    <w:rsid w:val="009942AE"/>
    <w:rsid w:val="009A13AE"/>
    <w:rsid w:val="009A1D46"/>
    <w:rsid w:val="009A2E89"/>
    <w:rsid w:val="009A2F9E"/>
    <w:rsid w:val="009A3162"/>
    <w:rsid w:val="009A56DD"/>
    <w:rsid w:val="009A5A29"/>
    <w:rsid w:val="009A5AA5"/>
    <w:rsid w:val="009A5D40"/>
    <w:rsid w:val="009A6707"/>
    <w:rsid w:val="009A6749"/>
    <w:rsid w:val="009A69A4"/>
    <w:rsid w:val="009A7D6E"/>
    <w:rsid w:val="009B2097"/>
    <w:rsid w:val="009B2604"/>
    <w:rsid w:val="009B30DE"/>
    <w:rsid w:val="009B3CC6"/>
    <w:rsid w:val="009B552C"/>
    <w:rsid w:val="009B69AA"/>
    <w:rsid w:val="009B6B61"/>
    <w:rsid w:val="009C0046"/>
    <w:rsid w:val="009C1250"/>
    <w:rsid w:val="009C2F4F"/>
    <w:rsid w:val="009C3125"/>
    <w:rsid w:val="009C3564"/>
    <w:rsid w:val="009C65F6"/>
    <w:rsid w:val="009C69C3"/>
    <w:rsid w:val="009C6A93"/>
    <w:rsid w:val="009D09D6"/>
    <w:rsid w:val="009D1F3E"/>
    <w:rsid w:val="009D2578"/>
    <w:rsid w:val="009D275C"/>
    <w:rsid w:val="009D3B28"/>
    <w:rsid w:val="009D3EC8"/>
    <w:rsid w:val="009D4B64"/>
    <w:rsid w:val="009D5B72"/>
    <w:rsid w:val="009D5EDE"/>
    <w:rsid w:val="009D61CD"/>
    <w:rsid w:val="009D7C2B"/>
    <w:rsid w:val="009E28FF"/>
    <w:rsid w:val="009E2A67"/>
    <w:rsid w:val="009E3CDF"/>
    <w:rsid w:val="009E598A"/>
    <w:rsid w:val="009E5EF9"/>
    <w:rsid w:val="009E6619"/>
    <w:rsid w:val="009E79C4"/>
    <w:rsid w:val="009F01E2"/>
    <w:rsid w:val="009F0F9B"/>
    <w:rsid w:val="009F4413"/>
    <w:rsid w:val="009F486E"/>
    <w:rsid w:val="009F4E88"/>
    <w:rsid w:val="009F6625"/>
    <w:rsid w:val="009F696E"/>
    <w:rsid w:val="009F6CEE"/>
    <w:rsid w:val="00A01380"/>
    <w:rsid w:val="00A015F7"/>
    <w:rsid w:val="00A03630"/>
    <w:rsid w:val="00A03C2A"/>
    <w:rsid w:val="00A11991"/>
    <w:rsid w:val="00A12EE8"/>
    <w:rsid w:val="00A13570"/>
    <w:rsid w:val="00A13867"/>
    <w:rsid w:val="00A13D06"/>
    <w:rsid w:val="00A14144"/>
    <w:rsid w:val="00A148D6"/>
    <w:rsid w:val="00A1523C"/>
    <w:rsid w:val="00A1525D"/>
    <w:rsid w:val="00A165DF"/>
    <w:rsid w:val="00A17961"/>
    <w:rsid w:val="00A20535"/>
    <w:rsid w:val="00A22DAA"/>
    <w:rsid w:val="00A23220"/>
    <w:rsid w:val="00A2561E"/>
    <w:rsid w:val="00A273E0"/>
    <w:rsid w:val="00A27CCA"/>
    <w:rsid w:val="00A315D6"/>
    <w:rsid w:val="00A32CD9"/>
    <w:rsid w:val="00A33890"/>
    <w:rsid w:val="00A34000"/>
    <w:rsid w:val="00A36757"/>
    <w:rsid w:val="00A40C5F"/>
    <w:rsid w:val="00A447D8"/>
    <w:rsid w:val="00A4489C"/>
    <w:rsid w:val="00A448FD"/>
    <w:rsid w:val="00A44EC5"/>
    <w:rsid w:val="00A452B7"/>
    <w:rsid w:val="00A456A9"/>
    <w:rsid w:val="00A471C3"/>
    <w:rsid w:val="00A47AA5"/>
    <w:rsid w:val="00A51CE9"/>
    <w:rsid w:val="00A52DBF"/>
    <w:rsid w:val="00A536E8"/>
    <w:rsid w:val="00A57090"/>
    <w:rsid w:val="00A578D8"/>
    <w:rsid w:val="00A639AD"/>
    <w:rsid w:val="00A647F1"/>
    <w:rsid w:val="00A6499F"/>
    <w:rsid w:val="00A64D3A"/>
    <w:rsid w:val="00A65F39"/>
    <w:rsid w:val="00A6610C"/>
    <w:rsid w:val="00A70E7E"/>
    <w:rsid w:val="00A72057"/>
    <w:rsid w:val="00A73EB6"/>
    <w:rsid w:val="00A7550A"/>
    <w:rsid w:val="00A76AB4"/>
    <w:rsid w:val="00A7759C"/>
    <w:rsid w:val="00A804A2"/>
    <w:rsid w:val="00A826B5"/>
    <w:rsid w:val="00A86534"/>
    <w:rsid w:val="00A86C9A"/>
    <w:rsid w:val="00A87300"/>
    <w:rsid w:val="00A875A1"/>
    <w:rsid w:val="00A8772C"/>
    <w:rsid w:val="00A87F5F"/>
    <w:rsid w:val="00A905C5"/>
    <w:rsid w:val="00A90DEB"/>
    <w:rsid w:val="00A93276"/>
    <w:rsid w:val="00A94395"/>
    <w:rsid w:val="00A9534B"/>
    <w:rsid w:val="00A956F0"/>
    <w:rsid w:val="00A957C1"/>
    <w:rsid w:val="00A96158"/>
    <w:rsid w:val="00A96A96"/>
    <w:rsid w:val="00A97023"/>
    <w:rsid w:val="00AA78C0"/>
    <w:rsid w:val="00AB05DC"/>
    <w:rsid w:val="00AB0667"/>
    <w:rsid w:val="00AB0E5F"/>
    <w:rsid w:val="00AB132F"/>
    <w:rsid w:val="00AB636D"/>
    <w:rsid w:val="00AC1291"/>
    <w:rsid w:val="00AC19FB"/>
    <w:rsid w:val="00AC3D5E"/>
    <w:rsid w:val="00AC4F6A"/>
    <w:rsid w:val="00AC5085"/>
    <w:rsid w:val="00AC5364"/>
    <w:rsid w:val="00AC6751"/>
    <w:rsid w:val="00AC7145"/>
    <w:rsid w:val="00AD1A89"/>
    <w:rsid w:val="00AD201B"/>
    <w:rsid w:val="00AD2935"/>
    <w:rsid w:val="00AD3D51"/>
    <w:rsid w:val="00AE0012"/>
    <w:rsid w:val="00AE0BC6"/>
    <w:rsid w:val="00AE2D9C"/>
    <w:rsid w:val="00AE3374"/>
    <w:rsid w:val="00AE3D5E"/>
    <w:rsid w:val="00AE6652"/>
    <w:rsid w:val="00AE69E0"/>
    <w:rsid w:val="00AF12EC"/>
    <w:rsid w:val="00AF2B4B"/>
    <w:rsid w:val="00AF330A"/>
    <w:rsid w:val="00AF3409"/>
    <w:rsid w:val="00AF3C35"/>
    <w:rsid w:val="00AF489A"/>
    <w:rsid w:val="00AF69EF"/>
    <w:rsid w:val="00AF6B88"/>
    <w:rsid w:val="00AF7150"/>
    <w:rsid w:val="00AF793C"/>
    <w:rsid w:val="00AF7980"/>
    <w:rsid w:val="00B008E4"/>
    <w:rsid w:val="00B01555"/>
    <w:rsid w:val="00B05062"/>
    <w:rsid w:val="00B05FBF"/>
    <w:rsid w:val="00B060A4"/>
    <w:rsid w:val="00B065A1"/>
    <w:rsid w:val="00B104AA"/>
    <w:rsid w:val="00B1110B"/>
    <w:rsid w:val="00B119C4"/>
    <w:rsid w:val="00B12D41"/>
    <w:rsid w:val="00B12F67"/>
    <w:rsid w:val="00B13906"/>
    <w:rsid w:val="00B147B5"/>
    <w:rsid w:val="00B15C1B"/>
    <w:rsid w:val="00B172C3"/>
    <w:rsid w:val="00B174B8"/>
    <w:rsid w:val="00B20296"/>
    <w:rsid w:val="00B23BDB"/>
    <w:rsid w:val="00B24DA0"/>
    <w:rsid w:val="00B266E2"/>
    <w:rsid w:val="00B308F0"/>
    <w:rsid w:val="00B34479"/>
    <w:rsid w:val="00B34D5F"/>
    <w:rsid w:val="00B35109"/>
    <w:rsid w:val="00B365CF"/>
    <w:rsid w:val="00B40708"/>
    <w:rsid w:val="00B40C7F"/>
    <w:rsid w:val="00B41213"/>
    <w:rsid w:val="00B4251B"/>
    <w:rsid w:val="00B42B1A"/>
    <w:rsid w:val="00B43541"/>
    <w:rsid w:val="00B442DF"/>
    <w:rsid w:val="00B45C8B"/>
    <w:rsid w:val="00B47437"/>
    <w:rsid w:val="00B5010D"/>
    <w:rsid w:val="00B50803"/>
    <w:rsid w:val="00B51386"/>
    <w:rsid w:val="00B52063"/>
    <w:rsid w:val="00B530FE"/>
    <w:rsid w:val="00B535F3"/>
    <w:rsid w:val="00B543F1"/>
    <w:rsid w:val="00B55604"/>
    <w:rsid w:val="00B559F4"/>
    <w:rsid w:val="00B55D6D"/>
    <w:rsid w:val="00B600BD"/>
    <w:rsid w:val="00B60D32"/>
    <w:rsid w:val="00B63C45"/>
    <w:rsid w:val="00B64184"/>
    <w:rsid w:val="00B659E1"/>
    <w:rsid w:val="00B65EA8"/>
    <w:rsid w:val="00B6700A"/>
    <w:rsid w:val="00B67A5F"/>
    <w:rsid w:val="00B67C57"/>
    <w:rsid w:val="00B7531D"/>
    <w:rsid w:val="00B767B3"/>
    <w:rsid w:val="00B771A3"/>
    <w:rsid w:val="00B7772D"/>
    <w:rsid w:val="00B809BD"/>
    <w:rsid w:val="00B813AC"/>
    <w:rsid w:val="00B819AA"/>
    <w:rsid w:val="00B82ADD"/>
    <w:rsid w:val="00B831F4"/>
    <w:rsid w:val="00B83EB7"/>
    <w:rsid w:val="00B851F5"/>
    <w:rsid w:val="00B86294"/>
    <w:rsid w:val="00B862F8"/>
    <w:rsid w:val="00B86DD8"/>
    <w:rsid w:val="00B919FE"/>
    <w:rsid w:val="00B93E95"/>
    <w:rsid w:val="00B941A3"/>
    <w:rsid w:val="00B962D6"/>
    <w:rsid w:val="00B966C3"/>
    <w:rsid w:val="00B97063"/>
    <w:rsid w:val="00BA0672"/>
    <w:rsid w:val="00BA0B15"/>
    <w:rsid w:val="00BA0F16"/>
    <w:rsid w:val="00BA1FCB"/>
    <w:rsid w:val="00BA3FB0"/>
    <w:rsid w:val="00BA70FC"/>
    <w:rsid w:val="00BA7C58"/>
    <w:rsid w:val="00BB20A8"/>
    <w:rsid w:val="00BB652D"/>
    <w:rsid w:val="00BB7CD9"/>
    <w:rsid w:val="00BC00D8"/>
    <w:rsid w:val="00BC19FE"/>
    <w:rsid w:val="00BC296E"/>
    <w:rsid w:val="00BC2B77"/>
    <w:rsid w:val="00BC2D0A"/>
    <w:rsid w:val="00BC2FD4"/>
    <w:rsid w:val="00BC3848"/>
    <w:rsid w:val="00BC3D0F"/>
    <w:rsid w:val="00BC4ABE"/>
    <w:rsid w:val="00BC5328"/>
    <w:rsid w:val="00BC67F7"/>
    <w:rsid w:val="00BC697F"/>
    <w:rsid w:val="00BD0801"/>
    <w:rsid w:val="00BD179F"/>
    <w:rsid w:val="00BD2246"/>
    <w:rsid w:val="00BD273D"/>
    <w:rsid w:val="00BD52F5"/>
    <w:rsid w:val="00BD547D"/>
    <w:rsid w:val="00BD57AD"/>
    <w:rsid w:val="00BD5ED4"/>
    <w:rsid w:val="00BD6156"/>
    <w:rsid w:val="00BE02A1"/>
    <w:rsid w:val="00BE105B"/>
    <w:rsid w:val="00BE226C"/>
    <w:rsid w:val="00BE2FA4"/>
    <w:rsid w:val="00BE31FA"/>
    <w:rsid w:val="00BE3553"/>
    <w:rsid w:val="00BE3CC9"/>
    <w:rsid w:val="00BE4CCF"/>
    <w:rsid w:val="00BF045D"/>
    <w:rsid w:val="00BF1E43"/>
    <w:rsid w:val="00BF20C3"/>
    <w:rsid w:val="00BF2CF7"/>
    <w:rsid w:val="00BF3E42"/>
    <w:rsid w:val="00BF4489"/>
    <w:rsid w:val="00BF4AE0"/>
    <w:rsid w:val="00BF57FD"/>
    <w:rsid w:val="00C002FE"/>
    <w:rsid w:val="00C01309"/>
    <w:rsid w:val="00C01FAB"/>
    <w:rsid w:val="00C0290E"/>
    <w:rsid w:val="00C037AA"/>
    <w:rsid w:val="00C05BA4"/>
    <w:rsid w:val="00C06ABA"/>
    <w:rsid w:val="00C11B24"/>
    <w:rsid w:val="00C1389C"/>
    <w:rsid w:val="00C146BF"/>
    <w:rsid w:val="00C147DD"/>
    <w:rsid w:val="00C15843"/>
    <w:rsid w:val="00C15909"/>
    <w:rsid w:val="00C15DA4"/>
    <w:rsid w:val="00C171A3"/>
    <w:rsid w:val="00C20646"/>
    <w:rsid w:val="00C206B3"/>
    <w:rsid w:val="00C215E8"/>
    <w:rsid w:val="00C243E6"/>
    <w:rsid w:val="00C25A73"/>
    <w:rsid w:val="00C267FD"/>
    <w:rsid w:val="00C2720C"/>
    <w:rsid w:val="00C276F7"/>
    <w:rsid w:val="00C30306"/>
    <w:rsid w:val="00C31B6E"/>
    <w:rsid w:val="00C3349C"/>
    <w:rsid w:val="00C35F6A"/>
    <w:rsid w:val="00C4047F"/>
    <w:rsid w:val="00C41565"/>
    <w:rsid w:val="00C4162D"/>
    <w:rsid w:val="00C41C2F"/>
    <w:rsid w:val="00C421CA"/>
    <w:rsid w:val="00C42D70"/>
    <w:rsid w:val="00C43B37"/>
    <w:rsid w:val="00C458DC"/>
    <w:rsid w:val="00C46227"/>
    <w:rsid w:val="00C46F1E"/>
    <w:rsid w:val="00C4728F"/>
    <w:rsid w:val="00C4795F"/>
    <w:rsid w:val="00C50127"/>
    <w:rsid w:val="00C510AC"/>
    <w:rsid w:val="00C52AB3"/>
    <w:rsid w:val="00C55156"/>
    <w:rsid w:val="00C57273"/>
    <w:rsid w:val="00C57A90"/>
    <w:rsid w:val="00C61587"/>
    <w:rsid w:val="00C630CB"/>
    <w:rsid w:val="00C63C2F"/>
    <w:rsid w:val="00C652F2"/>
    <w:rsid w:val="00C656E8"/>
    <w:rsid w:val="00C664B0"/>
    <w:rsid w:val="00C669FB"/>
    <w:rsid w:val="00C70E32"/>
    <w:rsid w:val="00C728D6"/>
    <w:rsid w:val="00C74E03"/>
    <w:rsid w:val="00C74F73"/>
    <w:rsid w:val="00C750DC"/>
    <w:rsid w:val="00C813B1"/>
    <w:rsid w:val="00C81DA4"/>
    <w:rsid w:val="00C8243E"/>
    <w:rsid w:val="00C82C78"/>
    <w:rsid w:val="00C84699"/>
    <w:rsid w:val="00C85C5B"/>
    <w:rsid w:val="00C86686"/>
    <w:rsid w:val="00C87278"/>
    <w:rsid w:val="00C904EE"/>
    <w:rsid w:val="00C909CA"/>
    <w:rsid w:val="00C90C5B"/>
    <w:rsid w:val="00C92F3C"/>
    <w:rsid w:val="00C940B5"/>
    <w:rsid w:val="00C9546F"/>
    <w:rsid w:val="00C96BA0"/>
    <w:rsid w:val="00CA0C83"/>
    <w:rsid w:val="00CA1B25"/>
    <w:rsid w:val="00CA1CBF"/>
    <w:rsid w:val="00CA2F01"/>
    <w:rsid w:val="00CA2FB6"/>
    <w:rsid w:val="00CA3E6A"/>
    <w:rsid w:val="00CA403F"/>
    <w:rsid w:val="00CA50ED"/>
    <w:rsid w:val="00CA59CF"/>
    <w:rsid w:val="00CA619D"/>
    <w:rsid w:val="00CA72B6"/>
    <w:rsid w:val="00CA736E"/>
    <w:rsid w:val="00CB0B0C"/>
    <w:rsid w:val="00CB16B5"/>
    <w:rsid w:val="00CB1E07"/>
    <w:rsid w:val="00CB2117"/>
    <w:rsid w:val="00CC100C"/>
    <w:rsid w:val="00CC3B83"/>
    <w:rsid w:val="00CC489C"/>
    <w:rsid w:val="00CC5D8F"/>
    <w:rsid w:val="00CC6A49"/>
    <w:rsid w:val="00CD04AA"/>
    <w:rsid w:val="00CD0623"/>
    <w:rsid w:val="00CD1DCA"/>
    <w:rsid w:val="00CD3B2F"/>
    <w:rsid w:val="00CD476F"/>
    <w:rsid w:val="00CD4DBA"/>
    <w:rsid w:val="00CD4EC5"/>
    <w:rsid w:val="00CD528A"/>
    <w:rsid w:val="00CD6F89"/>
    <w:rsid w:val="00CD7146"/>
    <w:rsid w:val="00CD787C"/>
    <w:rsid w:val="00CE0927"/>
    <w:rsid w:val="00CE1632"/>
    <w:rsid w:val="00CE1C39"/>
    <w:rsid w:val="00CE3AEF"/>
    <w:rsid w:val="00CE4A87"/>
    <w:rsid w:val="00CE4D5A"/>
    <w:rsid w:val="00CE5335"/>
    <w:rsid w:val="00CF1522"/>
    <w:rsid w:val="00CF1F47"/>
    <w:rsid w:val="00CF27C0"/>
    <w:rsid w:val="00CF3FFF"/>
    <w:rsid w:val="00CF4140"/>
    <w:rsid w:val="00CF6275"/>
    <w:rsid w:val="00CF7582"/>
    <w:rsid w:val="00D007DE"/>
    <w:rsid w:val="00D00B9A"/>
    <w:rsid w:val="00D01943"/>
    <w:rsid w:val="00D04E79"/>
    <w:rsid w:val="00D069DB"/>
    <w:rsid w:val="00D10986"/>
    <w:rsid w:val="00D1457B"/>
    <w:rsid w:val="00D15596"/>
    <w:rsid w:val="00D16D2B"/>
    <w:rsid w:val="00D1767A"/>
    <w:rsid w:val="00D202E2"/>
    <w:rsid w:val="00D21034"/>
    <w:rsid w:val="00D22148"/>
    <w:rsid w:val="00D233AA"/>
    <w:rsid w:val="00D25F45"/>
    <w:rsid w:val="00D30CE9"/>
    <w:rsid w:val="00D324A8"/>
    <w:rsid w:val="00D32C8E"/>
    <w:rsid w:val="00D3381C"/>
    <w:rsid w:val="00D33E45"/>
    <w:rsid w:val="00D379E4"/>
    <w:rsid w:val="00D37C2A"/>
    <w:rsid w:val="00D42BE3"/>
    <w:rsid w:val="00D43826"/>
    <w:rsid w:val="00D45874"/>
    <w:rsid w:val="00D45877"/>
    <w:rsid w:val="00D469AB"/>
    <w:rsid w:val="00D47DD9"/>
    <w:rsid w:val="00D5199A"/>
    <w:rsid w:val="00D51A32"/>
    <w:rsid w:val="00D51F5B"/>
    <w:rsid w:val="00D5299B"/>
    <w:rsid w:val="00D52D5D"/>
    <w:rsid w:val="00D5304F"/>
    <w:rsid w:val="00D549AF"/>
    <w:rsid w:val="00D5681E"/>
    <w:rsid w:val="00D600AF"/>
    <w:rsid w:val="00D60522"/>
    <w:rsid w:val="00D61E86"/>
    <w:rsid w:val="00D61EF3"/>
    <w:rsid w:val="00D6213E"/>
    <w:rsid w:val="00D63E06"/>
    <w:rsid w:val="00D66289"/>
    <w:rsid w:val="00D71797"/>
    <w:rsid w:val="00D71F84"/>
    <w:rsid w:val="00D73C95"/>
    <w:rsid w:val="00D740E6"/>
    <w:rsid w:val="00D75215"/>
    <w:rsid w:val="00D75E14"/>
    <w:rsid w:val="00D76A16"/>
    <w:rsid w:val="00D76C00"/>
    <w:rsid w:val="00D776DC"/>
    <w:rsid w:val="00D77E87"/>
    <w:rsid w:val="00D800C6"/>
    <w:rsid w:val="00D80576"/>
    <w:rsid w:val="00D809A7"/>
    <w:rsid w:val="00D80B15"/>
    <w:rsid w:val="00D81F51"/>
    <w:rsid w:val="00D82282"/>
    <w:rsid w:val="00D84A1F"/>
    <w:rsid w:val="00D85226"/>
    <w:rsid w:val="00D858E6"/>
    <w:rsid w:val="00D85E24"/>
    <w:rsid w:val="00D87E6E"/>
    <w:rsid w:val="00D918D3"/>
    <w:rsid w:val="00D91E46"/>
    <w:rsid w:val="00D922E6"/>
    <w:rsid w:val="00D92367"/>
    <w:rsid w:val="00D92DB8"/>
    <w:rsid w:val="00D93E14"/>
    <w:rsid w:val="00D93FAF"/>
    <w:rsid w:val="00D94925"/>
    <w:rsid w:val="00D953FD"/>
    <w:rsid w:val="00D96374"/>
    <w:rsid w:val="00D967E5"/>
    <w:rsid w:val="00D96D03"/>
    <w:rsid w:val="00D97634"/>
    <w:rsid w:val="00DA0F5E"/>
    <w:rsid w:val="00DA1C5F"/>
    <w:rsid w:val="00DA3A21"/>
    <w:rsid w:val="00DA438F"/>
    <w:rsid w:val="00DA5D3F"/>
    <w:rsid w:val="00DA7DD8"/>
    <w:rsid w:val="00DB16EB"/>
    <w:rsid w:val="00DB1F29"/>
    <w:rsid w:val="00DB2F3D"/>
    <w:rsid w:val="00DB4E58"/>
    <w:rsid w:val="00DB60E1"/>
    <w:rsid w:val="00DB68DB"/>
    <w:rsid w:val="00DB701A"/>
    <w:rsid w:val="00DC035E"/>
    <w:rsid w:val="00DC1154"/>
    <w:rsid w:val="00DC1FB8"/>
    <w:rsid w:val="00DC2CFB"/>
    <w:rsid w:val="00DC432E"/>
    <w:rsid w:val="00DC5D83"/>
    <w:rsid w:val="00DD343C"/>
    <w:rsid w:val="00DD3F90"/>
    <w:rsid w:val="00DD41D2"/>
    <w:rsid w:val="00DD4AD7"/>
    <w:rsid w:val="00DD6910"/>
    <w:rsid w:val="00DD6D2D"/>
    <w:rsid w:val="00DD7817"/>
    <w:rsid w:val="00DE28C1"/>
    <w:rsid w:val="00DE2954"/>
    <w:rsid w:val="00DE2C51"/>
    <w:rsid w:val="00DE4562"/>
    <w:rsid w:val="00DE5A42"/>
    <w:rsid w:val="00DE5DEC"/>
    <w:rsid w:val="00DE6596"/>
    <w:rsid w:val="00DE787F"/>
    <w:rsid w:val="00DF0A49"/>
    <w:rsid w:val="00DF28B7"/>
    <w:rsid w:val="00DF419C"/>
    <w:rsid w:val="00DF576F"/>
    <w:rsid w:val="00DF67A8"/>
    <w:rsid w:val="00DF723B"/>
    <w:rsid w:val="00DF7757"/>
    <w:rsid w:val="00E005B6"/>
    <w:rsid w:val="00E00802"/>
    <w:rsid w:val="00E016DB"/>
    <w:rsid w:val="00E01E1C"/>
    <w:rsid w:val="00E0269C"/>
    <w:rsid w:val="00E0284D"/>
    <w:rsid w:val="00E04DFE"/>
    <w:rsid w:val="00E07E8A"/>
    <w:rsid w:val="00E10A35"/>
    <w:rsid w:val="00E1164A"/>
    <w:rsid w:val="00E117B1"/>
    <w:rsid w:val="00E11D5B"/>
    <w:rsid w:val="00E12F25"/>
    <w:rsid w:val="00E145A9"/>
    <w:rsid w:val="00E14CC4"/>
    <w:rsid w:val="00E14F46"/>
    <w:rsid w:val="00E14FD4"/>
    <w:rsid w:val="00E1514A"/>
    <w:rsid w:val="00E17781"/>
    <w:rsid w:val="00E2001C"/>
    <w:rsid w:val="00E20567"/>
    <w:rsid w:val="00E21E52"/>
    <w:rsid w:val="00E230B7"/>
    <w:rsid w:val="00E234F4"/>
    <w:rsid w:val="00E236A9"/>
    <w:rsid w:val="00E26E81"/>
    <w:rsid w:val="00E3165B"/>
    <w:rsid w:val="00E318A9"/>
    <w:rsid w:val="00E319B6"/>
    <w:rsid w:val="00E323CE"/>
    <w:rsid w:val="00E3258D"/>
    <w:rsid w:val="00E35FBA"/>
    <w:rsid w:val="00E417F3"/>
    <w:rsid w:val="00E41935"/>
    <w:rsid w:val="00E41AF5"/>
    <w:rsid w:val="00E42681"/>
    <w:rsid w:val="00E43C04"/>
    <w:rsid w:val="00E463A2"/>
    <w:rsid w:val="00E46A4A"/>
    <w:rsid w:val="00E47828"/>
    <w:rsid w:val="00E479A3"/>
    <w:rsid w:val="00E50813"/>
    <w:rsid w:val="00E51C36"/>
    <w:rsid w:val="00E573E0"/>
    <w:rsid w:val="00E5774A"/>
    <w:rsid w:val="00E6012F"/>
    <w:rsid w:val="00E622E9"/>
    <w:rsid w:val="00E64829"/>
    <w:rsid w:val="00E64E6A"/>
    <w:rsid w:val="00E64FF3"/>
    <w:rsid w:val="00E65160"/>
    <w:rsid w:val="00E6723B"/>
    <w:rsid w:val="00E67DDD"/>
    <w:rsid w:val="00E70AA9"/>
    <w:rsid w:val="00E70E71"/>
    <w:rsid w:val="00E71565"/>
    <w:rsid w:val="00E729BE"/>
    <w:rsid w:val="00E72A4F"/>
    <w:rsid w:val="00E732F8"/>
    <w:rsid w:val="00E75834"/>
    <w:rsid w:val="00E777BF"/>
    <w:rsid w:val="00E77BB4"/>
    <w:rsid w:val="00E77D2D"/>
    <w:rsid w:val="00E804E6"/>
    <w:rsid w:val="00E80B8A"/>
    <w:rsid w:val="00E84925"/>
    <w:rsid w:val="00E852B5"/>
    <w:rsid w:val="00E85640"/>
    <w:rsid w:val="00E8568E"/>
    <w:rsid w:val="00E8646B"/>
    <w:rsid w:val="00E86540"/>
    <w:rsid w:val="00E86F8A"/>
    <w:rsid w:val="00E877A9"/>
    <w:rsid w:val="00E877C8"/>
    <w:rsid w:val="00E90942"/>
    <w:rsid w:val="00E91254"/>
    <w:rsid w:val="00E91F66"/>
    <w:rsid w:val="00E921CA"/>
    <w:rsid w:val="00E92F30"/>
    <w:rsid w:val="00E93461"/>
    <w:rsid w:val="00E93762"/>
    <w:rsid w:val="00E961D0"/>
    <w:rsid w:val="00E97767"/>
    <w:rsid w:val="00E979CD"/>
    <w:rsid w:val="00EA098F"/>
    <w:rsid w:val="00EA1060"/>
    <w:rsid w:val="00EA2E7E"/>
    <w:rsid w:val="00EA2F66"/>
    <w:rsid w:val="00EA2F82"/>
    <w:rsid w:val="00EA33D3"/>
    <w:rsid w:val="00EA491F"/>
    <w:rsid w:val="00EA72AD"/>
    <w:rsid w:val="00EB00A4"/>
    <w:rsid w:val="00EB1374"/>
    <w:rsid w:val="00EB18ED"/>
    <w:rsid w:val="00EB2619"/>
    <w:rsid w:val="00EB30F2"/>
    <w:rsid w:val="00EB348A"/>
    <w:rsid w:val="00EB5840"/>
    <w:rsid w:val="00EB76E4"/>
    <w:rsid w:val="00EC15B0"/>
    <w:rsid w:val="00EC23AA"/>
    <w:rsid w:val="00EC2D32"/>
    <w:rsid w:val="00EC3EE6"/>
    <w:rsid w:val="00EC65E8"/>
    <w:rsid w:val="00EC73B2"/>
    <w:rsid w:val="00EC79CF"/>
    <w:rsid w:val="00ED19B1"/>
    <w:rsid w:val="00ED2ED7"/>
    <w:rsid w:val="00ED3045"/>
    <w:rsid w:val="00ED339D"/>
    <w:rsid w:val="00ED3943"/>
    <w:rsid w:val="00ED3B29"/>
    <w:rsid w:val="00ED56CB"/>
    <w:rsid w:val="00ED5CD6"/>
    <w:rsid w:val="00ED68CF"/>
    <w:rsid w:val="00EE09CC"/>
    <w:rsid w:val="00EE1156"/>
    <w:rsid w:val="00EE232E"/>
    <w:rsid w:val="00EE2447"/>
    <w:rsid w:val="00EE2A73"/>
    <w:rsid w:val="00EE36B0"/>
    <w:rsid w:val="00EE5276"/>
    <w:rsid w:val="00EE6E30"/>
    <w:rsid w:val="00EE79AE"/>
    <w:rsid w:val="00EF0391"/>
    <w:rsid w:val="00EF2C8D"/>
    <w:rsid w:val="00EF3837"/>
    <w:rsid w:val="00EF4128"/>
    <w:rsid w:val="00EF42D8"/>
    <w:rsid w:val="00EF56B8"/>
    <w:rsid w:val="00EF5819"/>
    <w:rsid w:val="00EF649E"/>
    <w:rsid w:val="00EF64A9"/>
    <w:rsid w:val="00EF6688"/>
    <w:rsid w:val="00EF7AF6"/>
    <w:rsid w:val="00F008EB"/>
    <w:rsid w:val="00F00A8F"/>
    <w:rsid w:val="00F00F0D"/>
    <w:rsid w:val="00F04EA8"/>
    <w:rsid w:val="00F053BB"/>
    <w:rsid w:val="00F065B7"/>
    <w:rsid w:val="00F07603"/>
    <w:rsid w:val="00F10689"/>
    <w:rsid w:val="00F12782"/>
    <w:rsid w:val="00F1463C"/>
    <w:rsid w:val="00F14A7B"/>
    <w:rsid w:val="00F20E6F"/>
    <w:rsid w:val="00F21A79"/>
    <w:rsid w:val="00F2376A"/>
    <w:rsid w:val="00F23DCA"/>
    <w:rsid w:val="00F24577"/>
    <w:rsid w:val="00F26180"/>
    <w:rsid w:val="00F26D43"/>
    <w:rsid w:val="00F30186"/>
    <w:rsid w:val="00F32530"/>
    <w:rsid w:val="00F32995"/>
    <w:rsid w:val="00F33754"/>
    <w:rsid w:val="00F35EE6"/>
    <w:rsid w:val="00F36A68"/>
    <w:rsid w:val="00F409FA"/>
    <w:rsid w:val="00F44284"/>
    <w:rsid w:val="00F442D3"/>
    <w:rsid w:val="00F4503E"/>
    <w:rsid w:val="00F451A8"/>
    <w:rsid w:val="00F46366"/>
    <w:rsid w:val="00F471A3"/>
    <w:rsid w:val="00F50C41"/>
    <w:rsid w:val="00F51A36"/>
    <w:rsid w:val="00F51D2F"/>
    <w:rsid w:val="00F524B3"/>
    <w:rsid w:val="00F52C22"/>
    <w:rsid w:val="00F5358C"/>
    <w:rsid w:val="00F57226"/>
    <w:rsid w:val="00F57652"/>
    <w:rsid w:val="00F60292"/>
    <w:rsid w:val="00F60542"/>
    <w:rsid w:val="00F609D7"/>
    <w:rsid w:val="00F611B2"/>
    <w:rsid w:val="00F669FC"/>
    <w:rsid w:val="00F6739B"/>
    <w:rsid w:val="00F702EB"/>
    <w:rsid w:val="00F71363"/>
    <w:rsid w:val="00F72779"/>
    <w:rsid w:val="00F73630"/>
    <w:rsid w:val="00F73992"/>
    <w:rsid w:val="00F73B93"/>
    <w:rsid w:val="00F75A1F"/>
    <w:rsid w:val="00F75AC8"/>
    <w:rsid w:val="00F76290"/>
    <w:rsid w:val="00F76C63"/>
    <w:rsid w:val="00F7729D"/>
    <w:rsid w:val="00F774D3"/>
    <w:rsid w:val="00F80922"/>
    <w:rsid w:val="00F80EAF"/>
    <w:rsid w:val="00F8135D"/>
    <w:rsid w:val="00F81F32"/>
    <w:rsid w:val="00F83B35"/>
    <w:rsid w:val="00F85704"/>
    <w:rsid w:val="00F861D6"/>
    <w:rsid w:val="00F86D02"/>
    <w:rsid w:val="00F87756"/>
    <w:rsid w:val="00F9189B"/>
    <w:rsid w:val="00F9292F"/>
    <w:rsid w:val="00F92FF4"/>
    <w:rsid w:val="00F93781"/>
    <w:rsid w:val="00F95A20"/>
    <w:rsid w:val="00F9631B"/>
    <w:rsid w:val="00F973F6"/>
    <w:rsid w:val="00F97CC2"/>
    <w:rsid w:val="00FA0C84"/>
    <w:rsid w:val="00FA22B5"/>
    <w:rsid w:val="00FA3448"/>
    <w:rsid w:val="00FA3AC6"/>
    <w:rsid w:val="00FA455E"/>
    <w:rsid w:val="00FA4654"/>
    <w:rsid w:val="00FA62B4"/>
    <w:rsid w:val="00FA66FA"/>
    <w:rsid w:val="00FB1213"/>
    <w:rsid w:val="00FB2CF0"/>
    <w:rsid w:val="00FB31B9"/>
    <w:rsid w:val="00FB42E1"/>
    <w:rsid w:val="00FB4648"/>
    <w:rsid w:val="00FB4733"/>
    <w:rsid w:val="00FB5826"/>
    <w:rsid w:val="00FB58E1"/>
    <w:rsid w:val="00FB6321"/>
    <w:rsid w:val="00FB6451"/>
    <w:rsid w:val="00FC102A"/>
    <w:rsid w:val="00FC11B3"/>
    <w:rsid w:val="00FC32C9"/>
    <w:rsid w:val="00FC369D"/>
    <w:rsid w:val="00FC40A6"/>
    <w:rsid w:val="00FC59A3"/>
    <w:rsid w:val="00FC59DA"/>
    <w:rsid w:val="00FC768F"/>
    <w:rsid w:val="00FC7779"/>
    <w:rsid w:val="00FC7BED"/>
    <w:rsid w:val="00FD09FD"/>
    <w:rsid w:val="00FD1002"/>
    <w:rsid w:val="00FD1758"/>
    <w:rsid w:val="00FD1BBF"/>
    <w:rsid w:val="00FD50C4"/>
    <w:rsid w:val="00FD56BF"/>
    <w:rsid w:val="00FD5EA7"/>
    <w:rsid w:val="00FD64E2"/>
    <w:rsid w:val="00FD675C"/>
    <w:rsid w:val="00FD67A5"/>
    <w:rsid w:val="00FD6C74"/>
    <w:rsid w:val="00FE0546"/>
    <w:rsid w:val="00FE1E18"/>
    <w:rsid w:val="00FE2203"/>
    <w:rsid w:val="00FE2978"/>
    <w:rsid w:val="00FE4B75"/>
    <w:rsid w:val="00FE5291"/>
    <w:rsid w:val="00FE6181"/>
    <w:rsid w:val="00FE7EE4"/>
    <w:rsid w:val="00FF0673"/>
    <w:rsid w:val="00FF06BC"/>
    <w:rsid w:val="00FF2567"/>
    <w:rsid w:val="00FF35AB"/>
    <w:rsid w:val="00FF4985"/>
    <w:rsid w:val="00FF4EAA"/>
    <w:rsid w:val="00FF72EC"/>
    <w:rsid w:val="00FF73FD"/>
    <w:rsid w:val="00FF75A6"/>
    <w:rsid w:val="00FF7FAC"/>
    <w:rsid w:val="0184682A"/>
    <w:rsid w:val="0320388B"/>
    <w:rsid w:val="04A6F120"/>
    <w:rsid w:val="0BB92CD9"/>
    <w:rsid w:val="0C0A9550"/>
    <w:rsid w:val="0C3D5492"/>
    <w:rsid w:val="13C76049"/>
    <w:rsid w:val="158E3782"/>
    <w:rsid w:val="1920C471"/>
    <w:rsid w:val="1A076088"/>
    <w:rsid w:val="1A6D8D66"/>
    <w:rsid w:val="1AFA0ED3"/>
    <w:rsid w:val="1C0E4B29"/>
    <w:rsid w:val="1C78CC6D"/>
    <w:rsid w:val="1EE1AA89"/>
    <w:rsid w:val="20217AB0"/>
    <w:rsid w:val="20CA896C"/>
    <w:rsid w:val="254FDAB4"/>
    <w:rsid w:val="26DB8197"/>
    <w:rsid w:val="2730F728"/>
    <w:rsid w:val="2C0F5291"/>
    <w:rsid w:val="2DD07E1B"/>
    <w:rsid w:val="2DFD4925"/>
    <w:rsid w:val="3184D1F1"/>
    <w:rsid w:val="3474EDB0"/>
    <w:rsid w:val="361F1E78"/>
    <w:rsid w:val="36B3079F"/>
    <w:rsid w:val="379539B4"/>
    <w:rsid w:val="37A5BEBA"/>
    <w:rsid w:val="37BC98B7"/>
    <w:rsid w:val="382CB648"/>
    <w:rsid w:val="3B87D3A3"/>
    <w:rsid w:val="3BF16B91"/>
    <w:rsid w:val="3FCF3280"/>
    <w:rsid w:val="400B729B"/>
    <w:rsid w:val="43A211CF"/>
    <w:rsid w:val="4485EF71"/>
    <w:rsid w:val="4509A70E"/>
    <w:rsid w:val="49071480"/>
    <w:rsid w:val="4D50B20D"/>
    <w:rsid w:val="4E383D1E"/>
    <w:rsid w:val="4E6ACDA2"/>
    <w:rsid w:val="4FFD3935"/>
    <w:rsid w:val="51454FE6"/>
    <w:rsid w:val="5181E5AC"/>
    <w:rsid w:val="547E0D05"/>
    <w:rsid w:val="561575E3"/>
    <w:rsid w:val="579F7A70"/>
    <w:rsid w:val="59F2666A"/>
    <w:rsid w:val="5E645EF8"/>
    <w:rsid w:val="5F140D42"/>
    <w:rsid w:val="613D9477"/>
    <w:rsid w:val="6223BB64"/>
    <w:rsid w:val="63569DC7"/>
    <w:rsid w:val="66D1EC3F"/>
    <w:rsid w:val="674052BB"/>
    <w:rsid w:val="68BDD776"/>
    <w:rsid w:val="690E1480"/>
    <w:rsid w:val="6C17A18D"/>
    <w:rsid w:val="6D051D23"/>
    <w:rsid w:val="6F6812EA"/>
    <w:rsid w:val="6FAC10A9"/>
    <w:rsid w:val="732D16AC"/>
    <w:rsid w:val="7A501BA4"/>
    <w:rsid w:val="7ADC725F"/>
    <w:rsid w:val="7E2E32BF"/>
    <w:rsid w:val="7E2E379D"/>
    <w:rsid w:val="7FB0B31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06F09B"/>
  <w15:chartTrackingRefBased/>
  <w15:docId w15:val="{F195D9BF-F501-4258-8084-4EE7BB81D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lsdException w:name="heading 2" w:locked="0" w:semiHidden="1" w:uiPriority="9" w:unhideWhenUsed="1"/>
    <w:lsdException w:name="heading 3" w:locked="0" w:semiHidden="1" w:uiPriority="9" w:unhideWhenUsed="1" w:qFormat="1"/>
    <w:lsdException w:name="heading 4" w:locked="0" w:semiHidden="1" w:uiPriority="9" w:unhideWhenUsed="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locked="0"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EE79AE"/>
    <w:rPr>
      <w:rFonts w:ascii="Arial" w:hAnsi="Arial"/>
      <w:sz w:val="24"/>
    </w:rPr>
  </w:style>
  <w:style w:type="paragraph" w:styleId="Heading1">
    <w:name w:val="heading 1"/>
    <w:basedOn w:val="Normal"/>
    <w:next w:val="Normal"/>
    <w:link w:val="Heading1Char"/>
    <w:uiPriority w:val="9"/>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3A3D56"/>
    <w:pPr>
      <w:spacing w:before="120" w:line="312" w:lineRule="auto"/>
    </w:pPr>
    <w:rPr>
      <w:b/>
      <w:color w:val="43358B"/>
      <w:spacing w:val="-20"/>
      <w:sz w:val="56"/>
    </w:rPr>
  </w:style>
  <w:style w:type="paragraph" w:customStyle="1" w:styleId="Publicationsubtitle">
    <w:name w:val="Publication subtitle"/>
    <w:basedOn w:val="PublicationTitle"/>
    <w:autoRedefine/>
    <w:qFormat/>
    <w:rsid w:val="00DD6910"/>
    <w:rPr>
      <w:spacing w:val="0"/>
      <w:sz w:val="36"/>
    </w:rPr>
  </w:style>
  <w:style w:type="paragraph" w:customStyle="1" w:styleId="Publicationdate">
    <w:name w:val="Publication date"/>
    <w:basedOn w:val="PublicationTitle"/>
    <w:autoRedefine/>
    <w:qFormat/>
    <w:rsid w:val="00DE4562"/>
    <w:pPr>
      <w:spacing w:line="360" w:lineRule="exact"/>
    </w:pPr>
    <w:rPr>
      <w:b w:val="0"/>
      <w:bCs/>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E234F4"/>
    <w:pPr>
      <w:tabs>
        <w:tab w:val="right" w:pos="9752"/>
      </w:tabs>
      <w:spacing w:after="0"/>
    </w:pPr>
  </w:style>
  <w:style w:type="character" w:customStyle="1" w:styleId="HeaderChar">
    <w:name w:val="Header Char"/>
    <w:basedOn w:val="DefaultParagraphFont"/>
    <w:link w:val="Header"/>
    <w:uiPriority w:val="99"/>
    <w:rsid w:val="00E234F4"/>
    <w:rPr>
      <w:rFonts w:ascii="Arial" w:hAnsi="Arial"/>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semiHidden/>
    <w:qFormat/>
    <w:locked/>
    <w:rsid w:val="00B1110B"/>
    <w:pPr>
      <w:ind w:left="720"/>
      <w:contextualSpacing/>
    </w:pPr>
  </w:style>
  <w:style w:type="paragraph" w:customStyle="1" w:styleId="Bullet1">
    <w:name w:val="Bullet 1"/>
    <w:basedOn w:val="ListParagraph"/>
    <w:qFormat/>
    <w:rsid w:val="002961B4"/>
    <w:pPr>
      <w:numPr>
        <w:numId w:val="3"/>
      </w:numPr>
      <w:ind w:left="680" w:hanging="340"/>
      <w:contextualSpacing w:val="0"/>
    </w:pPr>
  </w:style>
  <w:style w:type="paragraph" w:customStyle="1" w:styleId="Bullet2">
    <w:name w:val="Bullet 2"/>
    <w:basedOn w:val="Bullet1"/>
    <w:qFormat/>
    <w:rsid w:val="003504BB"/>
    <w:pPr>
      <w:numPr>
        <w:numId w:val="4"/>
      </w:numPr>
      <w:ind w:left="1247" w:hanging="340"/>
    </w:pPr>
  </w:style>
  <w:style w:type="character" w:customStyle="1" w:styleId="Tablebodyde-emphasis">
    <w:name w:val="Table body de-emphasis"/>
    <w:basedOn w:val="DefaultParagraphFont"/>
    <w:uiPriority w:val="1"/>
    <w:semiHidden/>
    <w:qFormat/>
    <w:rsid w:val="00EB348A"/>
    <w:rPr>
      <w:color w:val="595959"/>
    </w:r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qFormat/>
    <w:rsid w:val="004C6DF6"/>
    <w:pPr>
      <w:spacing w:after="0"/>
    </w:pPr>
    <w:rPr>
      <w:rFonts w:cs="Arial"/>
      <w:bCs/>
    </w:rPr>
  </w:style>
  <w:style w:type="paragraph" w:styleId="TOCHeading">
    <w:name w:val="TOC Heading"/>
    <w:basedOn w:val="Heading1"/>
    <w:next w:val="Normal"/>
    <w:uiPriority w:val="39"/>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rsid w:val="00DE4562"/>
    <w:pPr>
      <w:tabs>
        <w:tab w:val="right" w:pos="8902"/>
      </w:tabs>
      <w:spacing w:after="160" w:line="288" w:lineRule="auto"/>
      <w:ind w:right="1134"/>
    </w:pPr>
    <w:rPr>
      <w:noProof/>
    </w:rPr>
  </w:style>
  <w:style w:type="paragraph" w:styleId="TOC2">
    <w:name w:val="toc 2"/>
    <w:basedOn w:val="TOC1"/>
    <w:next w:val="TOC3"/>
    <w:autoRedefine/>
    <w:uiPriority w:val="39"/>
    <w:rsid w:val="00D97634"/>
    <w:pPr>
      <w:ind w:left="240"/>
    </w:pPr>
  </w:style>
  <w:style w:type="paragraph" w:styleId="TOC3">
    <w:name w:val="toc 3"/>
    <w:basedOn w:val="TOC2"/>
    <w:next w:val="TOC4"/>
    <w:autoRedefine/>
    <w:uiPriority w:val="39"/>
    <w:rsid w:val="000D322E"/>
    <w:pPr>
      <w:ind w:left="480"/>
    </w:pPr>
  </w:style>
  <w:style w:type="paragraph" w:styleId="TOC4">
    <w:name w:val="toc 4"/>
    <w:basedOn w:val="TOC3"/>
    <w:autoRedefine/>
    <w:uiPriority w:val="39"/>
    <w:rsid w:val="000D322E"/>
    <w:pPr>
      <w:ind w:left="720"/>
    </w:pPr>
  </w:style>
  <w:style w:type="paragraph" w:customStyle="1" w:styleId="Heading1numbered">
    <w:name w:val="Heading 1 numbered"/>
    <w:basedOn w:val="Heading1"/>
    <w:next w:val="Normal"/>
    <w:link w:val="Heading1numberedChar"/>
    <w:rsid w:val="008E5F4B"/>
    <w:pPr>
      <w:numPr>
        <w:numId w:val="8"/>
      </w:numPr>
    </w:pPr>
  </w:style>
  <w:style w:type="paragraph" w:customStyle="1" w:styleId="Heading2numbered">
    <w:name w:val="Heading 2 numbered"/>
    <w:basedOn w:val="Heading2"/>
    <w:next w:val="Normal"/>
    <w:link w:val="Heading2numberedChar"/>
    <w:rsid w:val="00817C6A"/>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rsid w:val="008E5F4B"/>
    <w:pPr>
      <w:numPr>
        <w:ilvl w:val="2"/>
        <w:numId w:val="8"/>
      </w:numPr>
    </w:pPr>
  </w:style>
  <w:style w:type="paragraph" w:customStyle="1" w:styleId="Heading4numbered">
    <w:name w:val="Heading 4 numbered"/>
    <w:basedOn w:val="Heading4"/>
    <w:next w:val="Normal"/>
    <w:link w:val="Heading4numberedChar"/>
    <w:rsid w:val="008E5F4B"/>
    <w:pPr>
      <w:numPr>
        <w:ilvl w:val="3"/>
        <w:numId w:val="8"/>
      </w:numPr>
    </w:pPr>
    <w:rPr>
      <w:bCs w:val="0"/>
    </w:rPr>
  </w:style>
  <w:style w:type="paragraph" w:styleId="FootnoteText">
    <w:name w:val="footnote text"/>
    <w:basedOn w:val="Normal"/>
    <w:link w:val="FootnoteTextChar"/>
    <w:uiPriority w:val="99"/>
    <w:rsid w:val="00F85704"/>
    <w:pPr>
      <w:tabs>
        <w:tab w:val="left" w:pos="284"/>
      </w:tabs>
      <w:spacing w:after="120"/>
      <w:ind w:left="340" w:hanging="340"/>
    </w:pPr>
    <w:rPr>
      <w:szCs w:val="24"/>
    </w:rPr>
  </w:style>
  <w:style w:type="character" w:customStyle="1" w:styleId="FootnoteTextChar">
    <w:name w:val="Footnote Text Char"/>
    <w:basedOn w:val="DefaultParagraphFont"/>
    <w:link w:val="FootnoteText"/>
    <w:uiPriority w:val="99"/>
    <w:rsid w:val="00F85704"/>
    <w:rPr>
      <w:rFonts w:ascii="Arial" w:hAnsi="Arial"/>
      <w:sz w:val="24"/>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5"/>
      </w:numPr>
      <w:ind w:left="1814" w:hanging="340"/>
    </w:pPr>
  </w:style>
  <w:style w:type="paragraph" w:customStyle="1" w:styleId="Bulletnumbered1123">
    <w:name w:val="Bullet numbered 1 (123)"/>
    <w:basedOn w:val="Normal"/>
    <w:qFormat/>
    <w:rsid w:val="008E5F4B"/>
    <w:pPr>
      <w:numPr>
        <w:numId w:val="7"/>
      </w:numPr>
    </w:pPr>
  </w:style>
  <w:style w:type="paragraph" w:customStyle="1" w:styleId="Bulletnumbered2abc">
    <w:name w:val="Bullet numbered 2 (abc)"/>
    <w:basedOn w:val="Bulletnumbered1123"/>
    <w:qFormat/>
    <w:rsid w:val="008E5F4B"/>
    <w:pPr>
      <w:numPr>
        <w:ilvl w:val="1"/>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8E5F4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817C6A"/>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8E5F4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8E5F4B"/>
    <w:rPr>
      <w:rFonts w:ascii="Arial" w:eastAsiaTheme="majorEastAsia" w:hAnsi="Arial" w:cs="Arial"/>
      <w:b/>
      <w:bCs w:val="0"/>
      <w:color w:val="000000" w:themeColor="text1"/>
      <w:sz w:val="24"/>
      <w:szCs w:val="24"/>
    </w:rPr>
  </w:style>
  <w:style w:type="paragraph" w:customStyle="1" w:styleId="Tablebullet1">
    <w:name w:val="Table bullet 1"/>
    <w:basedOn w:val="TableBody"/>
    <w:qFormat/>
    <w:rsid w:val="00B1110B"/>
    <w:pPr>
      <w:numPr>
        <w:numId w:val="6"/>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D1457B"/>
    <w:pPr>
      <w:pBdr>
        <w:top w:val="single" w:sz="6" w:space="3" w:color="3F3685" w:themeColor="text2"/>
      </w:pBdr>
      <w:jc w:val="right"/>
    </w:pPr>
    <w:rPr>
      <w:noProof/>
    </w:rPr>
  </w:style>
  <w:style w:type="paragraph" w:customStyle="1" w:styleId="Coverfooter">
    <w:name w:val="Cover footer"/>
    <w:basedOn w:val="Normal"/>
    <w:qFormat/>
    <w:rsid w:val="001A7DA0"/>
    <w:pPr>
      <w:tabs>
        <w:tab w:val="right" w:pos="8959"/>
      </w:tabs>
      <w:spacing w:before="120" w:after="0" w:line="312" w:lineRule="auto"/>
      <w:ind w:right="964"/>
    </w:pPr>
    <w:rPr>
      <w:rFonts w:cs="Arial"/>
      <w:b/>
      <w:color w:val="3F3685" w:themeColor="text2"/>
      <w:position w:val="-28"/>
      <w:sz w:val="28"/>
    </w:rPr>
  </w:style>
  <w:style w:type="character" w:customStyle="1" w:styleId="Italicspeciesnamesonly">
    <w:name w:val="*Italic (species names only)"/>
    <w:basedOn w:val="DefaultParagraphFont"/>
    <w:uiPriority w:val="1"/>
    <w:qFormat/>
    <w:rsid w:val="00B1110B"/>
    <w:rPr>
      <w:i/>
    </w:rPr>
  </w:style>
  <w:style w:type="character" w:customStyle="1" w:styleId="Bolditalicspeciesnamesonly">
    <w:name w:val="*Bold italic (species names only)"/>
    <w:basedOn w:val="Italicspeciesnamesonly"/>
    <w:uiPriority w:val="1"/>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rsid w:val="00B1110B"/>
    <w:pPr>
      <w:spacing w:before="0" w:after="120"/>
    </w:pPr>
    <w:rPr>
      <w:sz w:val="32"/>
    </w:rPr>
  </w:style>
  <w:style w:type="paragraph" w:styleId="Quote">
    <w:name w:val="Quote"/>
    <w:basedOn w:val="Normal"/>
    <w:next w:val="Normal"/>
    <w:link w:val="QuoteChar"/>
    <w:uiPriority w:val="29"/>
    <w:qFormat/>
    <w:rsid w:val="00B50803"/>
    <w:pPr>
      <w:pBdr>
        <w:top w:val="single" w:sz="8" w:space="10" w:color="3F3685" w:themeColor="text2"/>
        <w:bottom w:val="single" w:sz="8" w:space="6" w:color="3F3685" w:themeColor="text2"/>
      </w:pBdr>
      <w:spacing w:before="240" w:after="300"/>
      <w:ind w:left="567" w:right="567"/>
    </w:pPr>
    <w:rPr>
      <w:iCs/>
      <w:color w:val="000000" w:themeColor="text1"/>
    </w:rPr>
  </w:style>
  <w:style w:type="character" w:customStyle="1" w:styleId="QuoteChar">
    <w:name w:val="Quote Char"/>
    <w:basedOn w:val="DefaultParagraphFont"/>
    <w:link w:val="Quote"/>
    <w:uiPriority w:val="29"/>
    <w:rsid w:val="00B50803"/>
    <w:rPr>
      <w:rFonts w:ascii="Arial" w:hAnsi="Arial"/>
      <w:iCs/>
      <w:color w:val="000000" w:themeColor="text1"/>
      <w:sz w:val="24"/>
    </w:rPr>
  </w:style>
  <w:style w:type="character" w:customStyle="1" w:styleId="yellowhighlight">
    <w:name w:val="*yellow highlight"/>
    <w:basedOn w:val="DefaultParagraphFont"/>
    <w:uiPriority w:val="1"/>
    <w:semiHidden/>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semiHidden/>
    <w:qFormat/>
    <w:rsid w:val="00B1110B"/>
    <w:rPr>
      <w:b/>
      <w:bdr w:val="none" w:sz="0" w:space="0" w:color="auto"/>
      <w:shd w:val="clear" w:color="auto" w:fill="FFFF00"/>
    </w:rPr>
  </w:style>
  <w:style w:type="character" w:customStyle="1" w:styleId="yellowhyperlink">
    <w:name w:val="*yellow hyperlink"/>
    <w:basedOn w:val="DefaultParagraphFont"/>
    <w:uiPriority w:val="1"/>
    <w:semiHidden/>
    <w:qFormat/>
    <w:rsid w:val="00672595"/>
    <w:rPr>
      <w:b/>
      <w:color w:val="3F3685" w:themeColor="text2"/>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672595"/>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8E5F4B"/>
    <w:pPr>
      <w:numPr>
        <w:numId w:val="9"/>
      </w:numPr>
      <w:tabs>
        <w:tab w:val="left" w:pos="720"/>
      </w:tabs>
    </w:pPr>
  </w:style>
  <w:style w:type="paragraph" w:customStyle="1" w:styleId="Tablebulletnumbered2abc">
    <w:name w:val="Table bullet numbered 2 (abc)"/>
    <w:basedOn w:val="Tablebulletnumbered1123"/>
    <w:qFormat/>
    <w:rsid w:val="008E5F4B"/>
    <w:pPr>
      <w:numPr>
        <w:ilvl w:val="1"/>
      </w:numPr>
      <w:tabs>
        <w:tab w:val="left" w:pos="1134"/>
      </w:tabs>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8E5F4B"/>
    <w:pPr>
      <w:numPr>
        <w:ilvl w:val="2"/>
      </w:numPr>
    </w:pPr>
  </w:style>
  <w:style w:type="paragraph" w:styleId="EndnoteText">
    <w:name w:val="endnote text"/>
    <w:basedOn w:val="Normal"/>
    <w:link w:val="EndnoteTextChar"/>
    <w:uiPriority w:val="99"/>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rsid w:val="00483CAD"/>
    <w:rPr>
      <w:rFonts w:ascii="Arial" w:hAnsi="Arial"/>
      <w:sz w:val="24"/>
      <w:szCs w:val="24"/>
    </w:rPr>
  </w:style>
  <w:style w:type="character" w:styleId="EndnoteReference">
    <w:name w:val="endnote reference"/>
    <w:basedOn w:val="DefaultParagraphFont"/>
    <w:uiPriority w:val="99"/>
    <w:rsid w:val="007C6BAA"/>
    <w:rPr>
      <w:vertAlign w:val="superscript"/>
    </w:rPr>
  </w:style>
  <w:style w:type="character" w:customStyle="1" w:styleId="Crossreference">
    <w:name w:val="Cross reference"/>
    <w:basedOn w:val="Hyperlink"/>
    <w:uiPriority w:val="1"/>
    <w:qFormat/>
    <w:rsid w:val="007C48DB"/>
    <w:rPr>
      <w:b/>
      <w:bCs/>
      <w:color w:val="43358B"/>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customStyle="1" w:styleId="UnresolvedMention3">
    <w:name w:val="Unresolved Mention3"/>
    <w:basedOn w:val="DefaultParagraphFont"/>
    <w:uiPriority w:val="99"/>
    <w:semiHidden/>
    <w:locked/>
    <w:rsid w:val="009C69C3"/>
    <w:rPr>
      <w:color w:val="605E5C"/>
      <w:shd w:val="clear" w:color="auto" w:fill="E1DFDD"/>
    </w:rPr>
  </w:style>
  <w:style w:type="table" w:styleId="PlainTable5">
    <w:name w:val="Plain Table 5"/>
    <w:basedOn w:val="TableNormal"/>
    <w:uiPriority w:val="45"/>
    <w:locked/>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CF4140"/>
    <w:pPr>
      <w:spacing w:after="360"/>
      <w:jc w:val="center"/>
    </w:pPr>
    <w:rPr>
      <w:noProof/>
      <w:lang w:eastAsia="en-GB"/>
    </w:rPr>
  </w:style>
  <w:style w:type="paragraph" w:customStyle="1" w:styleId="Textboxnormalleftaligned">
    <w:name w:val="Textbox normal (left aligned)"/>
    <w:basedOn w:val="Normal"/>
    <w:qFormat/>
    <w:rsid w:val="00CF1522"/>
    <w:pPr>
      <w:spacing w:after="120"/>
    </w:pPr>
  </w:style>
  <w:style w:type="paragraph" w:customStyle="1" w:styleId="Texboxnormalcentrealigned">
    <w:name w:val="Texbox normal (centre aligned)"/>
    <w:basedOn w:val="Textboxnormalleftaligned"/>
    <w:semiHidden/>
    <w:qFormat/>
    <w:rsid w:val="00A76AB4"/>
    <w:pPr>
      <w:jc w:val="center"/>
    </w:pPr>
  </w:style>
  <w:style w:type="character" w:customStyle="1" w:styleId="hidePElogoEditoraluseonly">
    <w:name w:val="*hide PE logo (Editoral use only)"/>
    <w:basedOn w:val="DefaultParagraphFont"/>
    <w:uiPriority w:val="1"/>
    <w:qFormat/>
    <w:rsid w:val="00763FCD"/>
    <w:rPr>
      <w:vanish/>
    </w:rPr>
  </w:style>
  <w:style w:type="paragraph" w:customStyle="1" w:styleId="GlossaryItemDescription">
    <w:name w:val="Glossary Item Description"/>
    <w:basedOn w:val="Normal"/>
    <w:link w:val="GlossaryItemDescriptionChar"/>
    <w:semiHidden/>
    <w:qFormat/>
    <w:rsid w:val="00C50127"/>
    <w:rPr>
      <w:rFonts w:eastAsia="Calibri" w:cs="Times New Roman"/>
      <w:szCs w:val="24"/>
      <w:lang w:eastAsia="en-GB"/>
    </w:rPr>
  </w:style>
  <w:style w:type="character" w:customStyle="1" w:styleId="GlossaryItemDescriptionChar">
    <w:name w:val="Glossary Item Description Char"/>
    <w:basedOn w:val="DefaultParagraphFont"/>
    <w:link w:val="GlossaryItemDescription"/>
    <w:semiHidden/>
    <w:rsid w:val="00C50127"/>
    <w:rPr>
      <w:rFonts w:ascii="Arial" w:eastAsia="Calibri" w:hAnsi="Arial" w:cs="Times New Roman"/>
      <w:sz w:val="24"/>
      <w:szCs w:val="24"/>
      <w:lang w:eastAsia="en-GB"/>
    </w:rPr>
  </w:style>
  <w:style w:type="paragraph" w:customStyle="1" w:styleId="GlossaryItemName">
    <w:name w:val="Glossary Item Name"/>
    <w:basedOn w:val="Normal"/>
    <w:link w:val="GlossaryItemNameChar"/>
    <w:semiHidden/>
    <w:qFormat/>
    <w:rsid w:val="00A01380"/>
    <w:pPr>
      <w:spacing w:before="120" w:after="60"/>
    </w:pPr>
    <w:rPr>
      <w:rFonts w:eastAsia="Calibri" w:cs="Times New Roman"/>
      <w:b/>
      <w:bCs/>
      <w:szCs w:val="24"/>
      <w:lang w:eastAsia="en-GB"/>
    </w:rPr>
  </w:style>
  <w:style w:type="character" w:customStyle="1" w:styleId="GlossaryItemNameChar">
    <w:name w:val="Glossary Item Name Char"/>
    <w:basedOn w:val="DefaultParagraphFont"/>
    <w:link w:val="GlossaryItemName"/>
    <w:semiHidden/>
    <w:rsid w:val="00A01380"/>
    <w:rPr>
      <w:rFonts w:ascii="Arial" w:eastAsia="Calibri" w:hAnsi="Arial" w:cs="Times New Roman"/>
      <w:b/>
      <w:bCs/>
      <w:sz w:val="24"/>
      <w:szCs w:val="24"/>
      <w:lang w:eastAsia="en-GB"/>
    </w:rPr>
  </w:style>
  <w:style w:type="paragraph" w:customStyle="1" w:styleId="Metadata-ItemDescription">
    <w:name w:val="Metadata - Item Description"/>
    <w:basedOn w:val="Normal"/>
    <w:link w:val="Metadata-ItemDescriptionChar"/>
    <w:semiHidden/>
    <w:qFormat/>
    <w:rsid w:val="00C50127"/>
    <w:rPr>
      <w:rFonts w:eastAsia="Calibri" w:cs="Times New Roman"/>
      <w:szCs w:val="24"/>
      <w:lang w:eastAsia="en-GB"/>
    </w:rPr>
  </w:style>
  <w:style w:type="character" w:customStyle="1" w:styleId="Metadata-ItemDescriptionChar">
    <w:name w:val="Metadata - Item Description Char"/>
    <w:basedOn w:val="DefaultParagraphFont"/>
    <w:link w:val="Metadata-ItemDescription"/>
    <w:semiHidden/>
    <w:rsid w:val="00C50127"/>
    <w:rPr>
      <w:rFonts w:ascii="Arial" w:eastAsia="Calibri" w:hAnsi="Arial" w:cs="Times New Roman"/>
      <w:sz w:val="24"/>
      <w:szCs w:val="24"/>
      <w:lang w:eastAsia="en-GB"/>
    </w:rPr>
  </w:style>
  <w:style w:type="paragraph" w:customStyle="1" w:styleId="Metadata-ItemTitle">
    <w:name w:val="Metadata - Item Title"/>
    <w:basedOn w:val="Normal"/>
    <w:link w:val="Metadata-ItemTitleChar"/>
    <w:semiHidden/>
    <w:qFormat/>
    <w:rsid w:val="00C50127"/>
    <w:pPr>
      <w:spacing w:before="120" w:after="120"/>
    </w:pPr>
    <w:rPr>
      <w:rFonts w:eastAsia="Calibri" w:cs="Times New Roman"/>
      <w:b/>
      <w:bCs/>
      <w:szCs w:val="24"/>
      <w:lang w:eastAsia="en-GB"/>
    </w:rPr>
  </w:style>
  <w:style w:type="character" w:customStyle="1" w:styleId="Metadata-ItemTitleChar">
    <w:name w:val="Metadata - Item Title Char"/>
    <w:basedOn w:val="DefaultParagraphFont"/>
    <w:link w:val="Metadata-ItemTitle"/>
    <w:semiHidden/>
    <w:rsid w:val="00C50127"/>
    <w:rPr>
      <w:rFonts w:ascii="Arial" w:eastAsia="Calibri" w:hAnsi="Arial" w:cs="Times New Roman"/>
      <w:b/>
      <w:bCs/>
      <w:sz w:val="24"/>
      <w:szCs w:val="24"/>
      <w:lang w:eastAsia="en-GB"/>
    </w:rPr>
  </w:style>
  <w:style w:type="paragraph" w:customStyle="1" w:styleId="StatsDesignationEditoraluseonly">
    <w:name w:val="Stats Designation (Editoral use only)"/>
    <w:basedOn w:val="Normal"/>
    <w:link w:val="StatsDesignationEditoraluseonlyChar"/>
    <w:semiHidden/>
    <w:qFormat/>
    <w:rsid w:val="00C50127"/>
    <w:rPr>
      <w:color w:val="FFFFFF" w:themeColor="background1"/>
      <w:sz w:val="28"/>
    </w:rPr>
  </w:style>
  <w:style w:type="character" w:customStyle="1" w:styleId="StatsDesignationEditoraluseonlyChar">
    <w:name w:val="Stats Designation (Editoral use only) Char"/>
    <w:basedOn w:val="DefaultParagraphFont"/>
    <w:link w:val="StatsDesignationEditoraluseonly"/>
    <w:semiHidden/>
    <w:rsid w:val="003371A0"/>
    <w:rPr>
      <w:rFonts w:ascii="Arial" w:hAnsi="Arial"/>
      <w:color w:val="FFFFFF" w:themeColor="background1"/>
      <w:sz w:val="28"/>
    </w:rPr>
  </w:style>
  <w:style w:type="paragraph" w:customStyle="1" w:styleId="ImprintpagetextEditorialuseonly">
    <w:name w:val="*Imprint page text (Editorial use only)"/>
    <w:basedOn w:val="Normal"/>
    <w:qFormat/>
    <w:rsid w:val="00292910"/>
    <w:pPr>
      <w:tabs>
        <w:tab w:val="right" w:pos="8959"/>
      </w:tabs>
      <w:spacing w:line="312" w:lineRule="auto"/>
    </w:pPr>
  </w:style>
  <w:style w:type="character" w:customStyle="1" w:styleId="ImprintpageiconsEditorialuseonly">
    <w:name w:val="*Imprint page icons (Editorial use only)"/>
    <w:basedOn w:val="DefaultParagraphFont"/>
    <w:uiPriority w:val="1"/>
    <w:qFormat/>
    <w:rsid w:val="00292910"/>
    <w:rPr>
      <w:position w:val="-14"/>
    </w:rPr>
  </w:style>
  <w:style w:type="character" w:customStyle="1" w:styleId="ImprintPHSlinkEditorialuseonly">
    <w:name w:val="*Imprint PHS link (Editorial use only)"/>
    <w:basedOn w:val="Hyperlink"/>
    <w:uiPriority w:val="1"/>
    <w:qFormat/>
    <w:rsid w:val="005D3601"/>
    <w:rPr>
      <w:b/>
      <w:bCs/>
      <w:color w:val="43358B"/>
      <w:position w:val="-24"/>
      <w:sz w:val="40"/>
    </w:rPr>
  </w:style>
  <w:style w:type="character" w:customStyle="1" w:styleId="showPElogoEditorialuseonly">
    <w:name w:val="*show PE logo (Editorial use only)"/>
    <w:basedOn w:val="hidePElogoEditoraluseonly"/>
    <w:uiPriority w:val="1"/>
    <w:qFormat/>
    <w:rsid w:val="00292910"/>
    <w:rPr>
      <w:vanish w:val="0"/>
      <w:position w:val="0"/>
    </w:rPr>
  </w:style>
  <w:style w:type="paragraph" w:styleId="NormalWeb">
    <w:name w:val="Normal (Web)"/>
    <w:basedOn w:val="Normal"/>
    <w:uiPriority w:val="99"/>
    <w:semiHidden/>
    <w:locked/>
    <w:rsid w:val="00404FBA"/>
    <w:rPr>
      <w:rFonts w:ascii="Times New Roman" w:hAnsi="Times New Roman" w:cs="Times New Roman"/>
      <w:szCs w:val="24"/>
    </w:rPr>
  </w:style>
  <w:style w:type="character" w:styleId="UnresolvedMention">
    <w:name w:val="Unresolved Mention"/>
    <w:basedOn w:val="DefaultParagraphFont"/>
    <w:uiPriority w:val="99"/>
    <w:semiHidden/>
    <w:unhideWhenUsed/>
    <w:rsid w:val="005F29FB"/>
    <w:rPr>
      <w:color w:val="605E5C"/>
      <w:shd w:val="clear" w:color="auto" w:fill="E1DFDD"/>
    </w:rPr>
  </w:style>
  <w:style w:type="paragraph" w:customStyle="1" w:styleId="NormalH1">
    <w:name w:val="Normal H1"/>
    <w:basedOn w:val="Normal"/>
    <w:link w:val="NormalH1Char"/>
    <w:rsid w:val="00782305"/>
    <w:pPr>
      <w:spacing w:before="720"/>
    </w:pPr>
    <w:rPr>
      <w:b/>
      <w:color w:val="43358B"/>
      <w:sz w:val="36"/>
    </w:rPr>
  </w:style>
  <w:style w:type="paragraph" w:customStyle="1" w:styleId="NormalH1numbered">
    <w:name w:val="Normal H1 numbered"/>
    <w:basedOn w:val="NormalH1"/>
    <w:link w:val="NormalH1numberedChar"/>
    <w:rsid w:val="008867DD"/>
    <w:pPr>
      <w:numPr>
        <w:numId w:val="19"/>
      </w:numPr>
    </w:pPr>
  </w:style>
  <w:style w:type="paragraph" w:customStyle="1" w:styleId="NormalH2numbered">
    <w:name w:val="Normal H2 numbered"/>
    <w:basedOn w:val="NormalH1numbered"/>
    <w:link w:val="NormalH2numberedChar"/>
    <w:qFormat/>
    <w:rsid w:val="00817C6A"/>
    <w:pPr>
      <w:numPr>
        <w:ilvl w:val="1"/>
        <w:numId w:val="8"/>
      </w:numPr>
      <w:ind w:left="0"/>
    </w:pPr>
    <w:rPr>
      <w:sz w:val="32"/>
    </w:rPr>
  </w:style>
  <w:style w:type="paragraph" w:customStyle="1" w:styleId="NormalH2">
    <w:name w:val="Normal H2"/>
    <w:basedOn w:val="NormalH2numbered"/>
    <w:qFormat/>
    <w:rsid w:val="00817C6A"/>
    <w:pPr>
      <w:numPr>
        <w:ilvl w:val="0"/>
        <w:numId w:val="0"/>
      </w:numPr>
      <w:spacing w:before="480"/>
    </w:pPr>
  </w:style>
  <w:style w:type="character" w:customStyle="1" w:styleId="NormalH1Char">
    <w:name w:val="Normal H1 Char"/>
    <w:basedOn w:val="DefaultParagraphFont"/>
    <w:link w:val="NormalH1"/>
    <w:rsid w:val="008867DD"/>
    <w:rPr>
      <w:rFonts w:ascii="Arial" w:hAnsi="Arial"/>
      <w:b/>
      <w:color w:val="43358B"/>
      <w:sz w:val="36"/>
    </w:rPr>
  </w:style>
  <w:style w:type="character" w:customStyle="1" w:styleId="NormalH1numberedChar">
    <w:name w:val="Normal H1 numbered Char"/>
    <w:basedOn w:val="NormalH1Char"/>
    <w:link w:val="NormalH1numbered"/>
    <w:rsid w:val="008867DD"/>
    <w:rPr>
      <w:rFonts w:ascii="Arial" w:hAnsi="Arial"/>
      <w:b/>
      <w:color w:val="43358B"/>
      <w:sz w:val="36"/>
    </w:rPr>
  </w:style>
  <w:style w:type="character" w:customStyle="1" w:styleId="NormalH2numberedChar">
    <w:name w:val="Normal H2 numbered Char"/>
    <w:basedOn w:val="NormalH1numberedChar"/>
    <w:link w:val="NormalH2numbered"/>
    <w:rsid w:val="008867DD"/>
    <w:rPr>
      <w:rFonts w:ascii="Arial" w:hAnsi="Arial"/>
      <w:b/>
      <w:color w:val="43358B"/>
      <w:sz w:val="32"/>
    </w:rPr>
  </w:style>
  <w:style w:type="paragraph" w:customStyle="1" w:styleId="NormalH3">
    <w:name w:val="Normal H3"/>
    <w:basedOn w:val="NormalH2"/>
    <w:qFormat/>
    <w:rsid w:val="00526AFA"/>
    <w:rPr>
      <w:color w:val="auto"/>
      <w:sz w:val="28"/>
    </w:rPr>
  </w:style>
  <w:style w:type="paragraph" w:styleId="Revision">
    <w:name w:val="Revision"/>
    <w:hidden/>
    <w:uiPriority w:val="99"/>
    <w:semiHidden/>
    <w:rsid w:val="00D96D03"/>
    <w:pPr>
      <w:spacing w:after="0" w:line="240" w:lineRule="auto"/>
    </w:pPr>
    <w:rPr>
      <w:rFonts w:ascii="Arial" w:hAnsi="Arial"/>
      <w:sz w:val="24"/>
    </w:rPr>
  </w:style>
  <w:style w:type="character" w:customStyle="1" w:styleId="normaltextrun">
    <w:name w:val="normaltextrun"/>
    <w:basedOn w:val="DefaultParagraphFont"/>
    <w:rsid w:val="00214D2E"/>
  </w:style>
  <w:style w:type="character" w:customStyle="1" w:styleId="eop">
    <w:name w:val="eop"/>
    <w:basedOn w:val="DefaultParagraphFont"/>
    <w:rsid w:val="00214D2E"/>
  </w:style>
  <w:style w:type="paragraph" w:customStyle="1" w:styleId="paragraph">
    <w:name w:val="paragraph"/>
    <w:basedOn w:val="Normal"/>
    <w:rsid w:val="00F80922"/>
    <w:pPr>
      <w:spacing w:before="100" w:beforeAutospacing="1" w:after="100" w:afterAutospacing="1" w:line="240" w:lineRule="auto"/>
    </w:pPr>
    <w:rPr>
      <w:rFonts w:ascii="Times New Roman" w:eastAsia="Times New Roman" w:hAnsi="Times New Roman" w:cs="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0058188">
      <w:bodyDiv w:val="1"/>
      <w:marLeft w:val="0"/>
      <w:marRight w:val="0"/>
      <w:marTop w:val="0"/>
      <w:marBottom w:val="0"/>
      <w:divBdr>
        <w:top w:val="none" w:sz="0" w:space="0" w:color="auto"/>
        <w:left w:val="none" w:sz="0" w:space="0" w:color="auto"/>
        <w:bottom w:val="none" w:sz="0" w:space="0" w:color="auto"/>
        <w:right w:val="none" w:sz="0" w:space="0" w:color="auto"/>
      </w:divBdr>
    </w:div>
    <w:div w:id="519440066">
      <w:bodyDiv w:val="1"/>
      <w:marLeft w:val="0"/>
      <w:marRight w:val="0"/>
      <w:marTop w:val="0"/>
      <w:marBottom w:val="0"/>
      <w:divBdr>
        <w:top w:val="none" w:sz="0" w:space="0" w:color="auto"/>
        <w:left w:val="none" w:sz="0" w:space="0" w:color="auto"/>
        <w:bottom w:val="none" w:sz="0" w:space="0" w:color="auto"/>
        <w:right w:val="none" w:sz="0" w:space="0" w:color="auto"/>
      </w:divBdr>
    </w:div>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993411293">
      <w:bodyDiv w:val="1"/>
      <w:marLeft w:val="0"/>
      <w:marRight w:val="0"/>
      <w:marTop w:val="0"/>
      <w:marBottom w:val="0"/>
      <w:divBdr>
        <w:top w:val="none" w:sz="0" w:space="0" w:color="auto"/>
        <w:left w:val="none" w:sz="0" w:space="0" w:color="auto"/>
        <w:bottom w:val="none" w:sz="0" w:space="0" w:color="auto"/>
        <w:right w:val="none" w:sz="0" w:space="0" w:color="auto"/>
      </w:divBdr>
      <w:divsChild>
        <w:div w:id="171992692">
          <w:marLeft w:val="0"/>
          <w:marRight w:val="0"/>
          <w:marTop w:val="0"/>
          <w:marBottom w:val="0"/>
          <w:divBdr>
            <w:top w:val="none" w:sz="0" w:space="0" w:color="auto"/>
            <w:left w:val="none" w:sz="0" w:space="0" w:color="auto"/>
            <w:bottom w:val="none" w:sz="0" w:space="0" w:color="auto"/>
            <w:right w:val="none" w:sz="0" w:space="0" w:color="auto"/>
          </w:divBdr>
        </w:div>
        <w:div w:id="534730436">
          <w:marLeft w:val="0"/>
          <w:marRight w:val="0"/>
          <w:marTop w:val="0"/>
          <w:marBottom w:val="0"/>
          <w:divBdr>
            <w:top w:val="none" w:sz="0" w:space="0" w:color="auto"/>
            <w:left w:val="none" w:sz="0" w:space="0" w:color="auto"/>
            <w:bottom w:val="none" w:sz="0" w:space="0" w:color="auto"/>
            <w:right w:val="none" w:sz="0" w:space="0" w:color="auto"/>
          </w:divBdr>
        </w:div>
      </w:divsChild>
    </w:div>
    <w:div w:id="1115951656">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736977493">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1971745735">
      <w:bodyDiv w:val="1"/>
      <w:marLeft w:val="0"/>
      <w:marRight w:val="0"/>
      <w:marTop w:val="0"/>
      <w:marBottom w:val="0"/>
      <w:divBdr>
        <w:top w:val="none" w:sz="0" w:space="0" w:color="auto"/>
        <w:left w:val="none" w:sz="0" w:space="0" w:color="auto"/>
        <w:bottom w:val="none" w:sz="0" w:space="0" w:color="auto"/>
        <w:right w:val="none" w:sz="0" w:space="0" w:color="auto"/>
      </w:divBdr>
    </w:div>
    <w:div w:id="2119526606">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6.png"/><Relationship Id="rId26" Type="http://schemas.openxmlformats.org/officeDocument/2006/relationships/hyperlink" Target="https://www.gov.uk/government/publications/covid-19-the-green-book-chapter-14a" TargetMode="External"/><Relationship Id="rId39" Type="http://schemas.openxmlformats.org/officeDocument/2006/relationships/hyperlink" Target="https://assets.publishing.service.gov.uk/government/uploads/system/uploads/attachment_data/file/147868/Green-Book-Chapter-8-v4_0.pdf" TargetMode="External"/><Relationship Id="rId21" Type="http://schemas.openxmlformats.org/officeDocument/2006/relationships/image" Target="media/image7.jpeg"/><Relationship Id="rId34" Type="http://schemas.openxmlformats.org/officeDocument/2006/relationships/hyperlink" Target="https://www.gov.uk/government/publications/covid-19-the-green-book-chapter-14a" TargetMode="External"/><Relationship Id="rId42" Type="http://schemas.openxmlformats.org/officeDocument/2006/relationships/hyperlink" Target="https://www.gov.uk/government/publications/covid-19-the-green-book-chapter-14a" TargetMode="External"/><Relationship Id="rId47" Type="http://schemas.openxmlformats.org/officeDocument/2006/relationships/hyperlink" Target="https://learn.nes.nhs.scot/37676/immunisation/covid-19-vaccines" TargetMode="External"/><Relationship Id="rId50" Type="http://schemas.openxmlformats.org/officeDocument/2006/relationships/hyperlink" Target="https://www.gov.uk/government/publications/covid-19-the-green-book-chapter-14a"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phs.otherformats@phs.scot" TargetMode="External"/><Relationship Id="rId29" Type="http://schemas.openxmlformats.org/officeDocument/2006/relationships/hyperlink" Target="https://www.gov.uk/government/publications/covid-19-the-green-book-chapter-14a" TargetMode="External"/><Relationship Id="rId11" Type="http://schemas.openxmlformats.org/officeDocument/2006/relationships/footer" Target="footer1.xml"/><Relationship Id="rId24" Type="http://schemas.openxmlformats.org/officeDocument/2006/relationships/footer" Target="footer4.xml"/><Relationship Id="rId32" Type="http://schemas.openxmlformats.org/officeDocument/2006/relationships/hyperlink" Target="https://www.gov.uk/government/publications/covid-19-the-green-book-chapter-14a" TargetMode="External"/><Relationship Id="rId37" Type="http://schemas.openxmlformats.org/officeDocument/2006/relationships/hyperlink" Target="https://www.scothaem.org/shs-guidelines" TargetMode="External"/><Relationship Id="rId40" Type="http://schemas.openxmlformats.org/officeDocument/2006/relationships/hyperlink" Target="https://assets.publishing.service.gov.uk/government/uploads/system/uploads/attachment_data/file/147868/Green-Book-Chapter-8-v4_0.pdf" TargetMode="External"/><Relationship Id="rId45" Type="http://schemas.openxmlformats.org/officeDocument/2006/relationships/hyperlink" Target="https://www.gov.uk/government/publications/covid-19-the-green-book-chapter-14a" TargetMode="Externa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www.nationalarchives.gov.uk/doc/open-government-licence/" TargetMode="External"/><Relationship Id="rId31" Type="http://schemas.openxmlformats.org/officeDocument/2006/relationships/hyperlink" Target="https://www.gov.uk/government/publications/covid-19-the-green-book-chapter-14a" TargetMode="External"/><Relationship Id="rId44" Type="http://schemas.openxmlformats.org/officeDocument/2006/relationships/hyperlink" Target="https://www.gov.uk/government/collections/immunisation-against-infectious-disease-the-green-book" TargetMode="External"/><Relationship Id="rId52"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footer" Target="footer3.xml"/><Relationship Id="rId27" Type="http://schemas.openxmlformats.org/officeDocument/2006/relationships/hyperlink" Target="https://www.gov.uk/government/publications/covid-19-the-green-book-chapter-14a" TargetMode="External"/><Relationship Id="rId30" Type="http://schemas.openxmlformats.org/officeDocument/2006/relationships/hyperlink" Target="https://www.gov.uk/government/publications/covid-19-the-green-book-chapter-14a" TargetMode="External"/><Relationship Id="rId35" Type="http://schemas.openxmlformats.org/officeDocument/2006/relationships/hyperlink" Target="https://www.scothaem.org/shs-guidelines" TargetMode="External"/><Relationship Id="rId43" Type="http://schemas.openxmlformats.org/officeDocument/2006/relationships/hyperlink" Target="https://learn.nes.nhs.scot/37676/immunisation/covid-19-vaccines" TargetMode="External"/><Relationship Id="rId48" Type="http://schemas.openxmlformats.org/officeDocument/2006/relationships/hyperlink" Target="https://www.publications.scot.nhs.uk/" TargetMode="Externa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image" Target="media/image5.png"/><Relationship Id="rId25" Type="http://schemas.openxmlformats.org/officeDocument/2006/relationships/footer" Target="footer5.xml"/><Relationship Id="rId33" Type="http://schemas.openxmlformats.org/officeDocument/2006/relationships/hyperlink" Target="https://www.gov.uk/government/publications/covid-19-the-green-book-chapter-14a" TargetMode="External"/><Relationship Id="rId38" Type="http://schemas.openxmlformats.org/officeDocument/2006/relationships/hyperlink" Target="http://www.mhra.gov.uk/yellowcard" TargetMode="External"/><Relationship Id="rId46" Type="http://schemas.openxmlformats.org/officeDocument/2006/relationships/hyperlink" Target="https://www.medicines.org.uk/emc/product/15834/smpc" TargetMode="External"/><Relationship Id="rId20" Type="http://schemas.openxmlformats.org/officeDocument/2006/relationships/hyperlink" Target="http://www.publichealthscotland.scot/ogl" TargetMode="External"/><Relationship Id="rId41" Type="http://schemas.openxmlformats.org/officeDocument/2006/relationships/hyperlink" Target="http://www.mhra.gov.uk/yellowcard"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hyperlink" Target="http://www.publichealthscotland.scot" TargetMode="External"/><Relationship Id="rId28" Type="http://schemas.openxmlformats.org/officeDocument/2006/relationships/hyperlink" Target="https://www.scothaem.org/shs-guidelines" TargetMode="External"/><Relationship Id="rId36" Type="http://schemas.openxmlformats.org/officeDocument/2006/relationships/hyperlink" Target="http://www.mhra.gov.uk/yellowcard" TargetMode="External"/><Relationship Id="rId49" Type="http://schemas.openxmlformats.org/officeDocument/2006/relationships/hyperlink" Target="https://www.scothaem.org/shs-guidelin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im15\OneDrive%20-%20NHS%20Scotland\Documents\YYYY-MM-DD-pgd-name-of-pgd-v7_unlocke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7B82313F6464AF4BFA041C0AA5D703A"/>
        <w:category>
          <w:name w:val="General"/>
          <w:gallery w:val="placeholder"/>
        </w:category>
        <w:types>
          <w:type w:val="bbPlcHdr"/>
        </w:types>
        <w:behaviors>
          <w:behavior w:val="content"/>
        </w:behaviors>
        <w:guid w:val="{7E0ECBAC-A848-4D95-A306-9F127101F445}"/>
      </w:docPartPr>
      <w:docPartBody>
        <w:p w:rsidR="00B65EA8" w:rsidRDefault="00B65EA8">
          <w:pPr>
            <w:pStyle w:val="77B82313F6464AF4BFA041C0AA5D703A"/>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ontserrat">
    <w:charset w:val="00"/>
    <w:family w:val="auto"/>
    <w:pitch w:val="variable"/>
    <w:sig w:usb0="2000020F" w:usb1="00000003" w:usb2="00000000" w:usb3="00000000" w:csb0="00000197"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EA8"/>
    <w:rsid w:val="0002553B"/>
    <w:rsid w:val="000A07C2"/>
    <w:rsid w:val="000C064F"/>
    <w:rsid w:val="00162661"/>
    <w:rsid w:val="00196DDE"/>
    <w:rsid w:val="001A09E0"/>
    <w:rsid w:val="001F4604"/>
    <w:rsid w:val="001F5157"/>
    <w:rsid w:val="00201266"/>
    <w:rsid w:val="00221CA3"/>
    <w:rsid w:val="00267F69"/>
    <w:rsid w:val="00333B70"/>
    <w:rsid w:val="00381F0E"/>
    <w:rsid w:val="003A7009"/>
    <w:rsid w:val="00473146"/>
    <w:rsid w:val="004902A7"/>
    <w:rsid w:val="00511F4B"/>
    <w:rsid w:val="00523195"/>
    <w:rsid w:val="00530815"/>
    <w:rsid w:val="005A0B9F"/>
    <w:rsid w:val="005C04BD"/>
    <w:rsid w:val="005D015A"/>
    <w:rsid w:val="0060422A"/>
    <w:rsid w:val="006B6B97"/>
    <w:rsid w:val="006D42C1"/>
    <w:rsid w:val="007434C3"/>
    <w:rsid w:val="00782CC5"/>
    <w:rsid w:val="00793A65"/>
    <w:rsid w:val="007A58AF"/>
    <w:rsid w:val="007D591B"/>
    <w:rsid w:val="00806F9F"/>
    <w:rsid w:val="00827562"/>
    <w:rsid w:val="00836F94"/>
    <w:rsid w:val="00876F2C"/>
    <w:rsid w:val="009139EF"/>
    <w:rsid w:val="00925942"/>
    <w:rsid w:val="00953C04"/>
    <w:rsid w:val="009D5DE8"/>
    <w:rsid w:val="00A718C7"/>
    <w:rsid w:val="00AB0CB2"/>
    <w:rsid w:val="00AE0F34"/>
    <w:rsid w:val="00B053F3"/>
    <w:rsid w:val="00B3392A"/>
    <w:rsid w:val="00B65EA8"/>
    <w:rsid w:val="00B813AC"/>
    <w:rsid w:val="00BA14D1"/>
    <w:rsid w:val="00BE11D3"/>
    <w:rsid w:val="00C243E6"/>
    <w:rsid w:val="00C50811"/>
    <w:rsid w:val="00C630CB"/>
    <w:rsid w:val="00C70A75"/>
    <w:rsid w:val="00C77913"/>
    <w:rsid w:val="00C940B5"/>
    <w:rsid w:val="00D0022C"/>
    <w:rsid w:val="00D2760E"/>
    <w:rsid w:val="00D41F64"/>
    <w:rsid w:val="00D63FD3"/>
    <w:rsid w:val="00DD3FA3"/>
    <w:rsid w:val="00E117B1"/>
    <w:rsid w:val="00E12AC5"/>
    <w:rsid w:val="00E71565"/>
    <w:rsid w:val="00EE1156"/>
    <w:rsid w:val="00F82979"/>
    <w:rsid w:val="00FB3719"/>
    <w:rsid w:val="00FC0B04"/>
    <w:rsid w:val="00FD2718"/>
    <w:rsid w:val="00FE0AA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F5157"/>
    <w:rPr>
      <w:color w:val="808080"/>
    </w:rPr>
  </w:style>
  <w:style w:type="paragraph" w:customStyle="1" w:styleId="77B82313F6464AF4BFA041C0AA5D703A">
    <w:name w:val="77B82313F6464AF4BFA041C0AA5D70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19F0D811FB1246921F06E047D9E47F" ma:contentTypeVersion="6" ma:contentTypeDescription="Create a new document." ma:contentTypeScope="" ma:versionID="36d068a5cd78ca8eca06a9e3ef117fa1">
  <xsd:schema xmlns:xsd="http://www.w3.org/2001/XMLSchema" xmlns:xs="http://www.w3.org/2001/XMLSchema" xmlns:p="http://schemas.microsoft.com/office/2006/metadata/properties" xmlns:ns2="e8e2604e-a994-475a-8ac2-9aa1f82d5f8d" xmlns:ns3="05339c63-2a87-4132-9986-3bce0e5c07f8" targetNamespace="http://schemas.microsoft.com/office/2006/metadata/properties" ma:root="true" ma:fieldsID="5e6a4176ddd51fd8d21d796a2ac67961" ns2:_="" ns3:_="">
    <xsd:import namespace="e8e2604e-a994-475a-8ac2-9aa1f82d5f8d"/>
    <xsd:import namespace="05339c63-2a87-4132-9986-3bce0e5c07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e2604e-a994-475a-8ac2-9aa1f82d5f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339c63-2a87-4132-9986-3bce0e5c07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05339c63-2a87-4132-9986-3bce0e5c07f8">
      <UserInfo>
        <DisplayName>William Malcolm</DisplayName>
        <AccountId>41</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489BB93-023E-480C-9A55-8896F48567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e2604e-a994-475a-8ac2-9aa1f82d5f8d"/>
    <ds:schemaRef ds:uri="05339c63-2a87-4132-9986-3bce0e5c0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5626A0-B555-49AD-A98C-802E57777F67}">
  <ds:schemaRefs>
    <ds:schemaRef ds:uri="http://schemas.openxmlformats.org/officeDocument/2006/bibliography"/>
  </ds:schemaRefs>
</ds:datastoreItem>
</file>

<file path=customXml/itemProps3.xml><?xml version="1.0" encoding="utf-8"?>
<ds:datastoreItem xmlns:ds="http://schemas.openxmlformats.org/officeDocument/2006/customXml" ds:itemID="{6BA2688C-114F-4086-A3A1-6C7FB0D8A225}">
  <ds:schemaRefs>
    <ds:schemaRef ds:uri="e8e2604e-a994-475a-8ac2-9aa1f82d5f8d"/>
    <ds:schemaRef ds:uri="http://www.w3.org/XML/1998/namespace"/>
    <ds:schemaRef ds:uri="http://purl.org/dc/dcmitype/"/>
    <ds:schemaRef ds:uri="http://purl.org/dc/elements/1.1/"/>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05339c63-2a87-4132-9986-3bce0e5c07f8"/>
    <ds:schemaRef ds:uri="http://schemas.microsoft.com/office/2006/metadata/properties"/>
  </ds:schemaRefs>
</ds:datastoreItem>
</file>

<file path=customXml/itemProps4.xml><?xml version="1.0" encoding="utf-8"?>
<ds:datastoreItem xmlns:ds="http://schemas.openxmlformats.org/officeDocument/2006/customXml" ds:itemID="{909CB5D3-5BFD-4BBC-9F32-751451F9C34C}">
  <ds:schemaRefs>
    <ds:schemaRef ds:uri="http://schemas.microsoft.com/sharepoint/v3/contenttype/forms"/>
  </ds:schemaRefs>
</ds:datastoreItem>
</file>

<file path=docMetadata/LabelInfo.xml><?xml version="1.0" encoding="utf-8"?>
<clbl:labelList xmlns:clbl="http://schemas.microsoft.com/office/2020/mipLabelMetadata">
  <clbl:label id="{b4199b9c-a89e-442f-9799-431511f14748}" enabled="1" method="Privileged" siteId="{10efe0bd-a030-4bca-809c-b5e6745e499a}" removed="0"/>
</clbl:labelList>
</file>

<file path=docProps/app.xml><?xml version="1.0" encoding="utf-8"?>
<Properties xmlns="http://schemas.openxmlformats.org/officeDocument/2006/extended-properties" xmlns:vt="http://schemas.openxmlformats.org/officeDocument/2006/docPropsVTypes">
  <Template>YYYY-MM-DD-pgd-name-of-pgd-v7_unlocked</Template>
  <TotalTime>1</TotalTime>
  <Pages>33</Pages>
  <Words>6662</Words>
  <Characters>37975</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Administration of COVID-19 mRNA vaccines to individuals aged 18 years and over</vt:lpstr>
    </vt:vector>
  </TitlesOfParts>
  <Company/>
  <LinksUpToDate>false</LinksUpToDate>
  <CharactersWithSpaces>44548</CharactersWithSpaces>
  <SharedDoc>false</SharedDoc>
  <HLinks>
    <vt:vector size="234" baseType="variant">
      <vt:variant>
        <vt:i4>8192103</vt:i4>
      </vt:variant>
      <vt:variant>
        <vt:i4>147</vt:i4>
      </vt:variant>
      <vt:variant>
        <vt:i4>0</vt:i4>
      </vt:variant>
      <vt:variant>
        <vt:i4>5</vt:i4>
      </vt:variant>
      <vt:variant>
        <vt:lpwstr>https://www.gov.uk/government/publications/covid-19-the-green-book-chapter-14a</vt:lpwstr>
      </vt:variant>
      <vt:variant>
        <vt:lpwstr/>
      </vt:variant>
      <vt:variant>
        <vt:i4>3932276</vt:i4>
      </vt:variant>
      <vt:variant>
        <vt:i4>144</vt:i4>
      </vt:variant>
      <vt:variant>
        <vt:i4>0</vt:i4>
      </vt:variant>
      <vt:variant>
        <vt:i4>5</vt:i4>
      </vt:variant>
      <vt:variant>
        <vt:lpwstr>https://www.scothaem.org/shs-guidelines</vt:lpwstr>
      </vt:variant>
      <vt:variant>
        <vt:lpwstr/>
      </vt:variant>
      <vt:variant>
        <vt:i4>2555945</vt:i4>
      </vt:variant>
      <vt:variant>
        <vt:i4>141</vt:i4>
      </vt:variant>
      <vt:variant>
        <vt:i4>0</vt:i4>
      </vt:variant>
      <vt:variant>
        <vt:i4>5</vt:i4>
      </vt:variant>
      <vt:variant>
        <vt:lpwstr>https://learn.nes.nhs.scot/37676/immunisation/covid-19-vaccines</vt:lpwstr>
      </vt:variant>
      <vt:variant>
        <vt:lpwstr/>
      </vt:variant>
      <vt:variant>
        <vt:i4>7733307</vt:i4>
      </vt:variant>
      <vt:variant>
        <vt:i4>138</vt:i4>
      </vt:variant>
      <vt:variant>
        <vt:i4>0</vt:i4>
      </vt:variant>
      <vt:variant>
        <vt:i4>5</vt:i4>
      </vt:variant>
      <vt:variant>
        <vt:lpwstr>https://www.medicines.org.uk/emc/product/15914/smpc</vt:lpwstr>
      </vt:variant>
      <vt:variant>
        <vt:lpwstr/>
      </vt:variant>
      <vt:variant>
        <vt:i4>7798841</vt:i4>
      </vt:variant>
      <vt:variant>
        <vt:i4>135</vt:i4>
      </vt:variant>
      <vt:variant>
        <vt:i4>0</vt:i4>
      </vt:variant>
      <vt:variant>
        <vt:i4>5</vt:i4>
      </vt:variant>
      <vt:variant>
        <vt:lpwstr>https://www.medicines.org.uk/emc/product/15834/smpc</vt:lpwstr>
      </vt:variant>
      <vt:variant>
        <vt:lpwstr/>
      </vt:variant>
      <vt:variant>
        <vt:i4>8192103</vt:i4>
      </vt:variant>
      <vt:variant>
        <vt:i4>132</vt:i4>
      </vt:variant>
      <vt:variant>
        <vt:i4>0</vt:i4>
      </vt:variant>
      <vt:variant>
        <vt:i4>5</vt:i4>
      </vt:variant>
      <vt:variant>
        <vt:lpwstr>https://www.gov.uk/government/publications/covid-19-the-green-book-chapter-14a</vt:lpwstr>
      </vt:variant>
      <vt:variant>
        <vt:lpwstr/>
      </vt:variant>
      <vt:variant>
        <vt:i4>1835011</vt:i4>
      </vt:variant>
      <vt:variant>
        <vt:i4>129</vt:i4>
      </vt:variant>
      <vt:variant>
        <vt:i4>0</vt:i4>
      </vt:variant>
      <vt:variant>
        <vt:i4>5</vt:i4>
      </vt:variant>
      <vt:variant>
        <vt:lpwstr>https://www.gov.uk/government/collections/immunisation-against-infectious-disease-the-green-book</vt:lpwstr>
      </vt:variant>
      <vt:variant>
        <vt:lpwstr/>
      </vt:variant>
      <vt:variant>
        <vt:i4>2555945</vt:i4>
      </vt:variant>
      <vt:variant>
        <vt:i4>126</vt:i4>
      </vt:variant>
      <vt:variant>
        <vt:i4>0</vt:i4>
      </vt:variant>
      <vt:variant>
        <vt:i4>5</vt:i4>
      </vt:variant>
      <vt:variant>
        <vt:lpwstr>https://learn.nes.nhs.scot/37676/immunisation/covid-19-vaccines</vt:lpwstr>
      </vt:variant>
      <vt:variant>
        <vt:lpwstr/>
      </vt:variant>
      <vt:variant>
        <vt:i4>8192103</vt:i4>
      </vt:variant>
      <vt:variant>
        <vt:i4>123</vt:i4>
      </vt:variant>
      <vt:variant>
        <vt:i4>0</vt:i4>
      </vt:variant>
      <vt:variant>
        <vt:i4>5</vt:i4>
      </vt:variant>
      <vt:variant>
        <vt:lpwstr>https://www.gov.uk/government/publications/covid-19-the-green-book-chapter-14a</vt:lpwstr>
      </vt:variant>
      <vt:variant>
        <vt:lpwstr/>
      </vt:variant>
      <vt:variant>
        <vt:i4>5963789</vt:i4>
      </vt:variant>
      <vt:variant>
        <vt:i4>120</vt:i4>
      </vt:variant>
      <vt:variant>
        <vt:i4>0</vt:i4>
      </vt:variant>
      <vt:variant>
        <vt:i4>5</vt:i4>
      </vt:variant>
      <vt:variant>
        <vt:lpwstr>http://www.mhra.gov.uk/yellowcard</vt:lpwstr>
      </vt:variant>
      <vt:variant>
        <vt:lpwstr/>
      </vt:variant>
      <vt:variant>
        <vt:i4>3866731</vt:i4>
      </vt:variant>
      <vt:variant>
        <vt:i4>117</vt:i4>
      </vt:variant>
      <vt:variant>
        <vt:i4>0</vt:i4>
      </vt:variant>
      <vt:variant>
        <vt:i4>5</vt:i4>
      </vt:variant>
      <vt:variant>
        <vt:lpwstr>https://assets.publishing.service.gov.uk/government/uploads/system/uploads/attachment_data/file/147868/Green-Book-Chapter-8-v4_0.pdf</vt:lpwstr>
      </vt:variant>
      <vt:variant>
        <vt:lpwstr/>
      </vt:variant>
      <vt:variant>
        <vt:i4>3866731</vt:i4>
      </vt:variant>
      <vt:variant>
        <vt:i4>114</vt:i4>
      </vt:variant>
      <vt:variant>
        <vt:i4>0</vt:i4>
      </vt:variant>
      <vt:variant>
        <vt:i4>5</vt:i4>
      </vt:variant>
      <vt:variant>
        <vt:lpwstr>https://assets.publishing.service.gov.uk/government/uploads/system/uploads/attachment_data/file/147868/Green-Book-Chapter-8-v4_0.pdf</vt:lpwstr>
      </vt:variant>
      <vt:variant>
        <vt:lpwstr/>
      </vt:variant>
      <vt:variant>
        <vt:i4>5963789</vt:i4>
      </vt:variant>
      <vt:variant>
        <vt:i4>111</vt:i4>
      </vt:variant>
      <vt:variant>
        <vt:i4>0</vt:i4>
      </vt:variant>
      <vt:variant>
        <vt:i4>5</vt:i4>
      </vt:variant>
      <vt:variant>
        <vt:lpwstr>http://www.mhra.gov.uk/yellowcard</vt:lpwstr>
      </vt:variant>
      <vt:variant>
        <vt:lpwstr/>
      </vt:variant>
      <vt:variant>
        <vt:i4>3932276</vt:i4>
      </vt:variant>
      <vt:variant>
        <vt:i4>108</vt:i4>
      </vt:variant>
      <vt:variant>
        <vt:i4>0</vt:i4>
      </vt:variant>
      <vt:variant>
        <vt:i4>5</vt:i4>
      </vt:variant>
      <vt:variant>
        <vt:lpwstr>https://www.scothaem.org/shs-guidelines</vt:lpwstr>
      </vt:variant>
      <vt:variant>
        <vt:lpwstr/>
      </vt:variant>
      <vt:variant>
        <vt:i4>5963789</vt:i4>
      </vt:variant>
      <vt:variant>
        <vt:i4>105</vt:i4>
      </vt:variant>
      <vt:variant>
        <vt:i4>0</vt:i4>
      </vt:variant>
      <vt:variant>
        <vt:i4>5</vt:i4>
      </vt:variant>
      <vt:variant>
        <vt:lpwstr>http://www.mhra.gov.uk/yellowcard</vt:lpwstr>
      </vt:variant>
      <vt:variant>
        <vt:lpwstr/>
      </vt:variant>
      <vt:variant>
        <vt:i4>3932276</vt:i4>
      </vt:variant>
      <vt:variant>
        <vt:i4>102</vt:i4>
      </vt:variant>
      <vt:variant>
        <vt:i4>0</vt:i4>
      </vt:variant>
      <vt:variant>
        <vt:i4>5</vt:i4>
      </vt:variant>
      <vt:variant>
        <vt:lpwstr>https://www.scothaem.org/shs-guidelines</vt:lpwstr>
      </vt:variant>
      <vt:variant>
        <vt:lpwstr/>
      </vt:variant>
      <vt:variant>
        <vt:i4>8192103</vt:i4>
      </vt:variant>
      <vt:variant>
        <vt:i4>99</vt:i4>
      </vt:variant>
      <vt:variant>
        <vt:i4>0</vt:i4>
      </vt:variant>
      <vt:variant>
        <vt:i4>5</vt:i4>
      </vt:variant>
      <vt:variant>
        <vt:lpwstr>https://www.gov.uk/government/publications/covid-19-the-green-book-chapter-14a</vt:lpwstr>
      </vt:variant>
      <vt:variant>
        <vt:lpwstr/>
      </vt:variant>
      <vt:variant>
        <vt:i4>8192103</vt:i4>
      </vt:variant>
      <vt:variant>
        <vt:i4>96</vt:i4>
      </vt:variant>
      <vt:variant>
        <vt:i4>0</vt:i4>
      </vt:variant>
      <vt:variant>
        <vt:i4>5</vt:i4>
      </vt:variant>
      <vt:variant>
        <vt:lpwstr>https://www.gov.uk/government/publications/covid-19-the-green-book-chapter-14a</vt:lpwstr>
      </vt:variant>
      <vt:variant>
        <vt:lpwstr/>
      </vt:variant>
      <vt:variant>
        <vt:i4>8192103</vt:i4>
      </vt:variant>
      <vt:variant>
        <vt:i4>93</vt:i4>
      </vt:variant>
      <vt:variant>
        <vt:i4>0</vt:i4>
      </vt:variant>
      <vt:variant>
        <vt:i4>5</vt:i4>
      </vt:variant>
      <vt:variant>
        <vt:lpwstr>https://www.gov.uk/government/publications/covid-19-the-green-book-chapter-14a</vt:lpwstr>
      </vt:variant>
      <vt:variant>
        <vt:lpwstr/>
      </vt:variant>
      <vt:variant>
        <vt:i4>8192103</vt:i4>
      </vt:variant>
      <vt:variant>
        <vt:i4>90</vt:i4>
      </vt:variant>
      <vt:variant>
        <vt:i4>0</vt:i4>
      </vt:variant>
      <vt:variant>
        <vt:i4>5</vt:i4>
      </vt:variant>
      <vt:variant>
        <vt:lpwstr>https://www.gov.uk/government/publications/covid-19-the-green-book-chapter-14a</vt:lpwstr>
      </vt:variant>
      <vt:variant>
        <vt:lpwstr/>
      </vt:variant>
      <vt:variant>
        <vt:i4>8192103</vt:i4>
      </vt:variant>
      <vt:variant>
        <vt:i4>87</vt:i4>
      </vt:variant>
      <vt:variant>
        <vt:i4>0</vt:i4>
      </vt:variant>
      <vt:variant>
        <vt:i4>5</vt:i4>
      </vt:variant>
      <vt:variant>
        <vt:lpwstr>https://www.gov.uk/government/publications/covid-19-the-green-book-chapter-14a</vt:lpwstr>
      </vt:variant>
      <vt:variant>
        <vt:lpwstr/>
      </vt:variant>
      <vt:variant>
        <vt:i4>8192103</vt:i4>
      </vt:variant>
      <vt:variant>
        <vt:i4>84</vt:i4>
      </vt:variant>
      <vt:variant>
        <vt:i4>0</vt:i4>
      </vt:variant>
      <vt:variant>
        <vt:i4>5</vt:i4>
      </vt:variant>
      <vt:variant>
        <vt:lpwstr>https://www.gov.uk/government/publications/covid-19-the-green-book-chapter-14a</vt:lpwstr>
      </vt:variant>
      <vt:variant>
        <vt:lpwstr/>
      </vt:variant>
      <vt:variant>
        <vt:i4>3932276</vt:i4>
      </vt:variant>
      <vt:variant>
        <vt:i4>81</vt:i4>
      </vt:variant>
      <vt:variant>
        <vt:i4>0</vt:i4>
      </vt:variant>
      <vt:variant>
        <vt:i4>5</vt:i4>
      </vt:variant>
      <vt:variant>
        <vt:lpwstr>https://www.scothaem.org/shs-guidelines</vt:lpwstr>
      </vt:variant>
      <vt:variant>
        <vt:lpwstr/>
      </vt:variant>
      <vt:variant>
        <vt:i4>8192103</vt:i4>
      </vt:variant>
      <vt:variant>
        <vt:i4>78</vt:i4>
      </vt:variant>
      <vt:variant>
        <vt:i4>0</vt:i4>
      </vt:variant>
      <vt:variant>
        <vt:i4>5</vt:i4>
      </vt:variant>
      <vt:variant>
        <vt:lpwstr>https://www.gov.uk/government/publications/covid-19-the-green-book-chapter-14a</vt:lpwstr>
      </vt:variant>
      <vt:variant>
        <vt:lpwstr/>
      </vt:variant>
      <vt:variant>
        <vt:i4>8192103</vt:i4>
      </vt:variant>
      <vt:variant>
        <vt:i4>75</vt:i4>
      </vt:variant>
      <vt:variant>
        <vt:i4>0</vt:i4>
      </vt:variant>
      <vt:variant>
        <vt:i4>5</vt:i4>
      </vt:variant>
      <vt:variant>
        <vt:lpwstr>https://www.gov.uk/government/publications/covid-19-the-green-book-chapter-14a</vt:lpwstr>
      </vt:variant>
      <vt:variant>
        <vt:lpwstr/>
      </vt:variant>
      <vt:variant>
        <vt:i4>1769528</vt:i4>
      </vt:variant>
      <vt:variant>
        <vt:i4>68</vt:i4>
      </vt:variant>
      <vt:variant>
        <vt:i4>0</vt:i4>
      </vt:variant>
      <vt:variant>
        <vt:i4>5</vt:i4>
      </vt:variant>
      <vt:variant>
        <vt:lpwstr/>
      </vt:variant>
      <vt:variant>
        <vt:lpwstr>_Toc160804965</vt:lpwstr>
      </vt:variant>
      <vt:variant>
        <vt:i4>1769528</vt:i4>
      </vt:variant>
      <vt:variant>
        <vt:i4>62</vt:i4>
      </vt:variant>
      <vt:variant>
        <vt:i4>0</vt:i4>
      </vt:variant>
      <vt:variant>
        <vt:i4>5</vt:i4>
      </vt:variant>
      <vt:variant>
        <vt:lpwstr/>
      </vt:variant>
      <vt:variant>
        <vt:lpwstr>_Toc160804963</vt:lpwstr>
      </vt:variant>
      <vt:variant>
        <vt:i4>1769528</vt:i4>
      </vt:variant>
      <vt:variant>
        <vt:i4>56</vt:i4>
      </vt:variant>
      <vt:variant>
        <vt:i4>0</vt:i4>
      </vt:variant>
      <vt:variant>
        <vt:i4>5</vt:i4>
      </vt:variant>
      <vt:variant>
        <vt:lpwstr/>
      </vt:variant>
      <vt:variant>
        <vt:lpwstr>_Toc160804962</vt:lpwstr>
      </vt:variant>
      <vt:variant>
        <vt:i4>1769528</vt:i4>
      </vt:variant>
      <vt:variant>
        <vt:i4>50</vt:i4>
      </vt:variant>
      <vt:variant>
        <vt:i4>0</vt:i4>
      </vt:variant>
      <vt:variant>
        <vt:i4>5</vt:i4>
      </vt:variant>
      <vt:variant>
        <vt:lpwstr/>
      </vt:variant>
      <vt:variant>
        <vt:lpwstr>_Toc160804961</vt:lpwstr>
      </vt:variant>
      <vt:variant>
        <vt:i4>1769528</vt:i4>
      </vt:variant>
      <vt:variant>
        <vt:i4>44</vt:i4>
      </vt:variant>
      <vt:variant>
        <vt:i4>0</vt:i4>
      </vt:variant>
      <vt:variant>
        <vt:i4>5</vt:i4>
      </vt:variant>
      <vt:variant>
        <vt:lpwstr/>
      </vt:variant>
      <vt:variant>
        <vt:lpwstr>_Toc160804960</vt:lpwstr>
      </vt:variant>
      <vt:variant>
        <vt:i4>1572920</vt:i4>
      </vt:variant>
      <vt:variant>
        <vt:i4>38</vt:i4>
      </vt:variant>
      <vt:variant>
        <vt:i4>0</vt:i4>
      </vt:variant>
      <vt:variant>
        <vt:i4>5</vt:i4>
      </vt:variant>
      <vt:variant>
        <vt:lpwstr/>
      </vt:variant>
      <vt:variant>
        <vt:lpwstr>_Toc160804959</vt:lpwstr>
      </vt:variant>
      <vt:variant>
        <vt:i4>1572920</vt:i4>
      </vt:variant>
      <vt:variant>
        <vt:i4>32</vt:i4>
      </vt:variant>
      <vt:variant>
        <vt:i4>0</vt:i4>
      </vt:variant>
      <vt:variant>
        <vt:i4>5</vt:i4>
      </vt:variant>
      <vt:variant>
        <vt:lpwstr/>
      </vt:variant>
      <vt:variant>
        <vt:lpwstr>_Toc160804958</vt:lpwstr>
      </vt:variant>
      <vt:variant>
        <vt:i4>1572920</vt:i4>
      </vt:variant>
      <vt:variant>
        <vt:i4>26</vt:i4>
      </vt:variant>
      <vt:variant>
        <vt:i4>0</vt:i4>
      </vt:variant>
      <vt:variant>
        <vt:i4>5</vt:i4>
      </vt:variant>
      <vt:variant>
        <vt:lpwstr/>
      </vt:variant>
      <vt:variant>
        <vt:lpwstr>_Toc160804957</vt:lpwstr>
      </vt:variant>
      <vt:variant>
        <vt:i4>1572920</vt:i4>
      </vt:variant>
      <vt:variant>
        <vt:i4>20</vt:i4>
      </vt:variant>
      <vt:variant>
        <vt:i4>0</vt:i4>
      </vt:variant>
      <vt:variant>
        <vt:i4>5</vt:i4>
      </vt:variant>
      <vt:variant>
        <vt:lpwstr/>
      </vt:variant>
      <vt:variant>
        <vt:lpwstr>_Toc160804956</vt:lpwstr>
      </vt:variant>
      <vt:variant>
        <vt:i4>1572920</vt:i4>
      </vt:variant>
      <vt:variant>
        <vt:i4>14</vt:i4>
      </vt:variant>
      <vt:variant>
        <vt:i4>0</vt:i4>
      </vt:variant>
      <vt:variant>
        <vt:i4>5</vt:i4>
      </vt:variant>
      <vt:variant>
        <vt:lpwstr/>
      </vt:variant>
      <vt:variant>
        <vt:lpwstr>_Toc160804955</vt:lpwstr>
      </vt:variant>
      <vt:variant>
        <vt:i4>655429</vt:i4>
      </vt:variant>
      <vt:variant>
        <vt:i4>9</vt:i4>
      </vt:variant>
      <vt:variant>
        <vt:i4>0</vt:i4>
      </vt:variant>
      <vt:variant>
        <vt:i4>5</vt:i4>
      </vt:variant>
      <vt:variant>
        <vt:lpwstr>http://www.publichealthscotland.scot/</vt:lpwstr>
      </vt:variant>
      <vt:variant>
        <vt:lpwstr/>
      </vt:variant>
      <vt:variant>
        <vt:i4>589837</vt:i4>
      </vt:variant>
      <vt:variant>
        <vt:i4>6</vt:i4>
      </vt:variant>
      <vt:variant>
        <vt:i4>0</vt:i4>
      </vt:variant>
      <vt:variant>
        <vt:i4>5</vt:i4>
      </vt:variant>
      <vt:variant>
        <vt:lpwstr>http://www.publichealthscotland.scot/ogl</vt:lpwstr>
      </vt:variant>
      <vt:variant>
        <vt:lpwstr/>
      </vt:variant>
      <vt:variant>
        <vt:i4>6553714</vt:i4>
      </vt:variant>
      <vt:variant>
        <vt:i4>3</vt:i4>
      </vt:variant>
      <vt:variant>
        <vt:i4>0</vt:i4>
      </vt:variant>
      <vt:variant>
        <vt:i4>5</vt:i4>
      </vt:variant>
      <vt:variant>
        <vt:lpwstr>http://www.nationalarchives.gov.uk/doc/open-government-licence/</vt:lpwstr>
      </vt:variant>
      <vt:variant>
        <vt:lpwstr/>
      </vt:variant>
      <vt:variant>
        <vt:i4>7536644</vt:i4>
      </vt:variant>
      <vt:variant>
        <vt:i4>0</vt:i4>
      </vt:variant>
      <vt:variant>
        <vt:i4>0</vt:i4>
      </vt:variant>
      <vt:variant>
        <vt:i4>5</vt:i4>
      </vt:variant>
      <vt:variant>
        <vt:lpwstr>mailto:phs.otherformats@phs.scot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of COVID-19 mRNA vaccines to individuals aged 18 years and over</dc:title>
  <dc:subject>vaccines, immunisation, mRNA, COVID-19</dc:subject>
  <dc:creator>Public Health Scotland</dc:creator>
  <cp:keywords>vaccines, immunisation, mRNA, COVID-19</cp:keywords>
  <dc:description/>
  <cp:lastModifiedBy>Tracy Taylor</cp:lastModifiedBy>
  <cp:revision>2</cp:revision>
  <cp:lastPrinted>2021-11-12T09:52:00Z</cp:lastPrinted>
  <dcterms:created xsi:type="dcterms:W3CDTF">2025-03-20T11:42:00Z</dcterms:created>
  <dcterms:modified xsi:type="dcterms:W3CDTF">2025-03-20T11:42:00Z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0x010100B919F0D811FB1246921F06E047D9E47F</vt:lpwstr>
  </property>
</Properties>
</file>